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auto"/>
          <w:sz w:val="32"/>
          <w:szCs w:val="32"/>
        </w:rPr>
      </w:pPr>
    </w:p>
    <w:p>
      <w:pPr>
        <w:rPr>
          <w:rFonts w:hint="eastAsia" w:ascii="黑体" w:eastAsia="黑体"/>
          <w:color w:val="auto"/>
          <w:sz w:val="32"/>
          <w:szCs w:val="32"/>
        </w:rPr>
      </w:pPr>
    </w:p>
    <w:p>
      <w:pPr>
        <w:pStyle w:val="11"/>
        <w:adjustRightInd w:val="0"/>
        <w:snapToGrid w:val="0"/>
        <w:spacing w:line="360" w:lineRule="auto"/>
        <w:jc w:val="center"/>
        <w:rPr>
          <w:rFonts w:hint="eastAsia" w:hAnsi="宋体" w:cs="宋体"/>
          <w:b/>
          <w:bCs/>
          <w:color w:val="auto"/>
          <w:sz w:val="84"/>
          <w:szCs w:val="84"/>
          <w:lang w:eastAsia="zh-CN"/>
        </w:rPr>
      </w:pPr>
    </w:p>
    <w:p>
      <w:pPr>
        <w:pStyle w:val="11"/>
        <w:adjustRightInd w:val="0"/>
        <w:snapToGrid w:val="0"/>
        <w:spacing w:line="360" w:lineRule="auto"/>
        <w:jc w:val="center"/>
        <w:rPr>
          <w:rFonts w:hint="eastAsia" w:hAnsi="宋体" w:cs="宋体"/>
          <w:b/>
          <w:bCs/>
          <w:color w:val="auto"/>
          <w:sz w:val="84"/>
          <w:szCs w:val="84"/>
          <w:lang w:eastAsia="zh-CN"/>
        </w:rPr>
      </w:pPr>
      <w:r>
        <w:rPr>
          <w:rFonts w:hint="eastAsia" w:hAnsi="宋体" w:cs="宋体"/>
          <w:b/>
          <w:bCs/>
          <w:color w:val="auto"/>
          <w:sz w:val="84"/>
          <w:szCs w:val="84"/>
          <w:lang w:eastAsia="zh-CN"/>
        </w:rPr>
        <w:t>竞争性磋商</w:t>
      </w:r>
    </w:p>
    <w:p>
      <w:pPr>
        <w:pStyle w:val="11"/>
        <w:adjustRightInd w:val="0"/>
        <w:snapToGrid w:val="0"/>
        <w:spacing w:line="360" w:lineRule="auto"/>
        <w:jc w:val="center"/>
        <w:rPr>
          <w:rFonts w:hint="eastAsia" w:hAnsi="宋体" w:cs="宋体"/>
          <w:b/>
          <w:bCs/>
          <w:color w:val="auto"/>
          <w:sz w:val="84"/>
          <w:szCs w:val="84"/>
        </w:rPr>
      </w:pPr>
      <w:r>
        <w:rPr>
          <w:rFonts w:hint="eastAsia" w:hAnsi="宋体" w:cs="宋体"/>
          <w:b/>
          <w:bCs/>
          <w:color w:val="auto"/>
          <w:sz w:val="84"/>
          <w:szCs w:val="84"/>
          <w:lang w:val="en-US" w:eastAsia="zh-CN"/>
        </w:rPr>
        <w:t>采购</w:t>
      </w:r>
      <w:r>
        <w:rPr>
          <w:rFonts w:hint="eastAsia" w:hAnsi="宋体" w:cs="宋体"/>
          <w:b/>
          <w:bCs/>
          <w:color w:val="auto"/>
          <w:sz w:val="84"/>
          <w:szCs w:val="84"/>
        </w:rPr>
        <w:t>文件</w:t>
      </w:r>
    </w:p>
    <w:p>
      <w:pPr>
        <w:adjustRightInd w:val="0"/>
        <w:snapToGrid w:val="0"/>
        <w:spacing w:line="800" w:lineRule="exact"/>
        <w:jc w:val="center"/>
        <w:rPr>
          <w:rFonts w:hint="eastAsia" w:ascii="宋体" w:hAnsi="宋体"/>
          <w:b/>
          <w:bCs/>
          <w:color w:val="auto"/>
          <w:sz w:val="24"/>
          <w:lang w:eastAsia="zh-CN"/>
        </w:rPr>
      </w:pPr>
      <w:r>
        <w:rPr>
          <w:rFonts w:hint="eastAsia" w:ascii="宋体" w:hAnsi="宋体"/>
          <w:b/>
          <w:bCs/>
          <w:color w:val="auto"/>
          <w:sz w:val="24"/>
          <w:lang w:val="en-US" w:eastAsia="zh-CN"/>
        </w:rPr>
        <w:t xml:space="preserve">  </w:t>
      </w:r>
      <w:r>
        <w:rPr>
          <w:rFonts w:hint="eastAsia" w:ascii="宋体" w:hAnsi="宋体"/>
          <w:b/>
          <w:bCs/>
          <w:color w:val="auto"/>
          <w:sz w:val="24"/>
        </w:rPr>
        <w:t>采购项目名称：</w:t>
      </w:r>
      <w:r>
        <w:rPr>
          <w:rFonts w:hint="eastAsia" w:ascii="宋体" w:hAnsi="宋体"/>
          <w:b/>
          <w:bCs/>
          <w:color w:val="auto"/>
          <w:sz w:val="24"/>
          <w:lang w:eastAsia="zh-CN"/>
        </w:rPr>
        <w:t>娄底职业技术学院大国长技项目-现代农机</w:t>
      </w:r>
    </w:p>
    <w:p>
      <w:pPr>
        <w:adjustRightInd w:val="0"/>
        <w:snapToGrid w:val="0"/>
        <w:spacing w:line="800" w:lineRule="exact"/>
        <w:jc w:val="center"/>
        <w:rPr>
          <w:rFonts w:hint="eastAsia" w:ascii="宋体" w:hAnsi="宋体" w:eastAsia="宋体"/>
          <w:b/>
          <w:bCs/>
          <w:color w:val="auto"/>
          <w:sz w:val="24"/>
          <w:u w:val="single"/>
          <w:lang w:eastAsia="zh-CN"/>
        </w:rPr>
      </w:pPr>
      <w:r>
        <w:rPr>
          <w:rFonts w:hint="eastAsia" w:ascii="宋体" w:hAnsi="宋体"/>
          <w:b/>
          <w:bCs/>
          <w:color w:val="auto"/>
          <w:sz w:val="24"/>
          <w:lang w:val="en-US" w:eastAsia="zh-CN"/>
        </w:rPr>
        <w:t xml:space="preserve">         </w:t>
      </w:r>
      <w:r>
        <w:rPr>
          <w:rFonts w:hint="eastAsia" w:ascii="宋体" w:hAnsi="宋体"/>
          <w:b/>
          <w:bCs/>
          <w:color w:val="auto"/>
          <w:sz w:val="24"/>
          <w:lang w:eastAsia="zh-CN"/>
        </w:rPr>
        <w:t>数字博物馆(第一期)委托开发项目</w:t>
      </w:r>
    </w:p>
    <w:p>
      <w:pPr>
        <w:adjustRightInd w:val="0"/>
        <w:snapToGrid w:val="0"/>
        <w:spacing w:line="800" w:lineRule="exact"/>
        <w:ind w:firstLine="1852" w:firstLineChars="769"/>
        <w:jc w:val="both"/>
        <w:rPr>
          <w:rFonts w:hint="eastAsia" w:ascii="宋体" w:hAnsi="宋体"/>
          <w:b/>
          <w:bCs/>
          <w:color w:val="auto"/>
          <w:sz w:val="24"/>
          <w:u w:val="single"/>
        </w:rPr>
      </w:pPr>
      <w:r>
        <w:rPr>
          <w:rFonts w:hint="eastAsia" w:ascii="宋体" w:hAnsi="宋体"/>
          <w:b/>
          <w:bCs/>
          <w:color w:val="auto"/>
          <w:sz w:val="24"/>
        </w:rPr>
        <w:t>采   购   人：</w:t>
      </w:r>
      <w:r>
        <w:rPr>
          <w:rFonts w:hint="eastAsia" w:ascii="宋体" w:hAnsi="宋体"/>
          <w:b/>
          <w:bCs/>
          <w:color w:val="auto"/>
          <w:sz w:val="24"/>
          <w:u w:val="single"/>
        </w:rPr>
        <w:t>娄底职业技术学院</w:t>
      </w:r>
    </w:p>
    <w:p>
      <w:pPr>
        <w:spacing w:line="800" w:lineRule="exact"/>
        <w:ind w:firstLine="1928" w:firstLineChars="800"/>
        <w:jc w:val="both"/>
        <w:rPr>
          <w:rFonts w:hint="eastAsia" w:ascii="宋体" w:hAnsi="宋体"/>
          <w:b/>
          <w:bCs/>
          <w:color w:val="auto"/>
          <w:sz w:val="24"/>
        </w:rPr>
      </w:pPr>
      <w:r>
        <w:rPr>
          <w:rFonts w:hint="eastAsia" w:ascii="宋体" w:hAnsi="宋体" w:cs="Courier New"/>
          <w:b/>
          <w:bCs/>
          <w:color w:val="auto"/>
          <w:sz w:val="24"/>
        </w:rPr>
        <w:t>采购代理编号：</w:t>
      </w:r>
      <w:r>
        <w:rPr>
          <w:rFonts w:hint="eastAsia" w:ascii="宋体" w:hAnsi="宋体" w:cs="Times New Roman"/>
          <w:b/>
          <w:bCs/>
          <w:color w:val="auto"/>
          <w:sz w:val="24"/>
          <w:u w:val="single"/>
          <w:lang w:val="en-US" w:eastAsia="zh-CN"/>
        </w:rPr>
        <w:t>DLGCLD-2024-Z006</w:t>
      </w:r>
    </w:p>
    <w:p>
      <w:pPr>
        <w:spacing w:line="800" w:lineRule="exact"/>
        <w:ind w:firstLine="1928" w:firstLineChars="800"/>
        <w:jc w:val="both"/>
        <w:rPr>
          <w:rFonts w:hint="eastAsia" w:ascii="宋体" w:hAnsi="宋体" w:eastAsia="宋体"/>
          <w:b/>
          <w:bCs/>
          <w:color w:val="auto"/>
          <w:sz w:val="28"/>
          <w:szCs w:val="28"/>
          <w:lang w:eastAsia="zh-CN"/>
        </w:rPr>
      </w:pPr>
      <w:r>
        <w:rPr>
          <w:rFonts w:hint="eastAsia" w:ascii="宋体" w:hAnsi="宋体"/>
          <w:b/>
          <w:bCs/>
          <w:color w:val="auto"/>
          <w:sz w:val="24"/>
        </w:rPr>
        <w:t>采购代理机构：</w:t>
      </w:r>
      <w:r>
        <w:rPr>
          <w:rFonts w:hint="eastAsia" w:ascii="宋体" w:hAnsi="宋体"/>
          <w:b/>
          <w:bCs/>
          <w:color w:val="auto"/>
          <w:sz w:val="24"/>
          <w:u w:val="single"/>
          <w:lang w:val="en-US" w:eastAsia="zh-CN"/>
        </w:rPr>
        <w:t>东霖工程管理有限公司</w:t>
      </w:r>
    </w:p>
    <w:p>
      <w:pPr>
        <w:pStyle w:val="11"/>
        <w:adjustRightInd w:val="0"/>
        <w:snapToGrid w:val="0"/>
        <w:spacing w:line="360" w:lineRule="auto"/>
        <w:jc w:val="center"/>
        <w:rPr>
          <w:rFonts w:hAnsi="宋体" w:cs="宋体"/>
          <w:b/>
          <w:color w:val="auto"/>
          <w:sz w:val="32"/>
          <w:u w:val="single"/>
        </w:rPr>
      </w:pPr>
    </w:p>
    <w:p>
      <w:pPr>
        <w:pStyle w:val="11"/>
        <w:adjustRightInd w:val="0"/>
        <w:snapToGrid w:val="0"/>
        <w:spacing w:line="360" w:lineRule="auto"/>
        <w:rPr>
          <w:rFonts w:hAnsi="宋体" w:cs="宋体"/>
          <w:b/>
          <w:color w:val="auto"/>
          <w:sz w:val="32"/>
          <w:u w:val="single"/>
        </w:rPr>
      </w:pPr>
    </w:p>
    <w:p>
      <w:pPr>
        <w:tabs>
          <w:tab w:val="center" w:pos="4833"/>
          <w:tab w:val="left" w:pos="8194"/>
        </w:tabs>
        <w:jc w:val="left"/>
        <w:rPr>
          <w:rFonts w:hint="eastAsia" w:ascii="宋体" w:eastAsia="宋体"/>
          <w:b/>
          <w:bCs/>
          <w:color w:val="auto"/>
          <w:sz w:val="44"/>
          <w:szCs w:val="44"/>
          <w:lang w:eastAsia="zh-CN"/>
        </w:rPr>
      </w:pPr>
      <w:r>
        <w:rPr>
          <w:rFonts w:hint="eastAsia" w:hAnsi="宋体" w:cs="宋体"/>
          <w:b/>
          <w:color w:val="auto"/>
          <w:sz w:val="32"/>
          <w:u w:val="none"/>
          <w:lang w:eastAsia="zh-CN"/>
        </w:rPr>
        <w:tab/>
      </w:r>
      <w:r>
        <w:rPr>
          <w:rFonts w:hint="eastAsia" w:hAnsi="宋体" w:cs="宋体"/>
          <w:b/>
          <w:color w:val="auto"/>
          <w:sz w:val="32"/>
          <w:u w:val="none"/>
        </w:rPr>
        <w:t xml:space="preserve"> </w:t>
      </w:r>
      <w:r>
        <w:rPr>
          <w:rFonts w:hint="eastAsia" w:hAnsi="宋体" w:cs="宋体"/>
          <w:b/>
          <w:color w:val="auto"/>
          <w:sz w:val="32"/>
          <w:u w:val="single"/>
        </w:rPr>
        <w:t>202</w:t>
      </w:r>
      <w:r>
        <w:rPr>
          <w:rFonts w:hint="eastAsia" w:hAnsi="宋体" w:cs="宋体"/>
          <w:b/>
          <w:color w:val="auto"/>
          <w:sz w:val="32"/>
          <w:u w:val="single"/>
          <w:lang w:val="en-US" w:eastAsia="zh-CN"/>
        </w:rPr>
        <w:t>4</w:t>
      </w:r>
      <w:r>
        <w:rPr>
          <w:rFonts w:hint="eastAsia" w:hAnsi="宋体" w:cs="宋体"/>
          <w:b/>
          <w:color w:val="auto"/>
          <w:sz w:val="32"/>
        </w:rPr>
        <w:t>年</w:t>
      </w:r>
      <w:r>
        <w:rPr>
          <w:rFonts w:hint="eastAsia" w:hAnsi="宋体" w:cs="宋体"/>
          <w:b/>
          <w:color w:val="auto"/>
          <w:sz w:val="32"/>
          <w:u w:val="single"/>
        </w:rPr>
        <w:t xml:space="preserve"> </w:t>
      </w:r>
      <w:r>
        <w:rPr>
          <w:rFonts w:hint="eastAsia" w:hAnsi="宋体" w:cs="宋体"/>
          <w:b/>
          <w:color w:val="auto"/>
          <w:sz w:val="32"/>
          <w:u w:val="single"/>
          <w:lang w:val="en-US" w:eastAsia="zh-CN"/>
        </w:rPr>
        <w:t>4</w:t>
      </w:r>
      <w:r>
        <w:rPr>
          <w:rFonts w:hint="eastAsia" w:hAnsi="宋体" w:cs="宋体"/>
          <w:b/>
          <w:color w:val="auto"/>
          <w:sz w:val="32"/>
        </w:rPr>
        <w:t>月</w:t>
      </w:r>
      <w:r>
        <w:rPr>
          <w:rFonts w:hint="eastAsia" w:hAnsi="宋体" w:cs="宋体"/>
          <w:b/>
          <w:color w:val="auto"/>
          <w:sz w:val="32"/>
          <w:lang w:eastAsia="zh-CN"/>
        </w:rPr>
        <w:tab/>
      </w:r>
    </w:p>
    <w:p>
      <w:pPr>
        <w:tabs>
          <w:tab w:val="left" w:pos="2472"/>
        </w:tabs>
        <w:jc w:val="left"/>
        <w:rPr>
          <w:rFonts w:hint="eastAsia" w:ascii="宋体"/>
          <w:b/>
          <w:bCs/>
          <w:color w:val="auto"/>
          <w:sz w:val="44"/>
          <w:szCs w:val="44"/>
        </w:rPr>
      </w:pPr>
      <w:r>
        <w:rPr>
          <w:rFonts w:hint="eastAsia" w:ascii="宋体"/>
          <w:b/>
          <w:bCs/>
          <w:color w:val="auto"/>
          <w:sz w:val="44"/>
          <w:szCs w:val="44"/>
        </w:rPr>
        <w:tab/>
      </w:r>
    </w:p>
    <w:p>
      <w:pPr>
        <w:jc w:val="center"/>
        <w:rPr>
          <w:rFonts w:ascii="宋体"/>
          <w:b/>
          <w:bCs/>
          <w:color w:val="auto"/>
          <w:sz w:val="44"/>
          <w:szCs w:val="44"/>
        </w:rPr>
      </w:pPr>
    </w:p>
    <w:p>
      <w:pPr>
        <w:jc w:val="center"/>
        <w:rPr>
          <w:rFonts w:hint="eastAsia" w:ascii="宋体" w:cs="宋体"/>
          <w:b/>
          <w:bCs/>
          <w:color w:val="auto"/>
          <w:sz w:val="44"/>
          <w:szCs w:val="44"/>
        </w:rPr>
        <w:sectPr>
          <w:headerReference r:id="rId3" w:type="default"/>
          <w:footerReference r:id="rId4" w:type="even"/>
          <w:pgSz w:w="11906" w:h="16838"/>
          <w:pgMar w:top="1440" w:right="1080" w:bottom="1440" w:left="1080" w:header="851" w:footer="992" w:gutter="0"/>
          <w:cols w:space="720" w:num="1"/>
          <w:rtlGutter w:val="0"/>
          <w:docGrid w:type="linesAndChars" w:linePitch="312" w:charSpace="409"/>
        </w:sectPr>
      </w:pPr>
    </w:p>
    <w:p>
      <w:pPr>
        <w:jc w:val="both"/>
        <w:rPr>
          <w:rFonts w:hint="eastAsia" w:ascii="宋体" w:cs="宋体"/>
          <w:b/>
          <w:bCs/>
          <w:color w:val="auto"/>
          <w:sz w:val="44"/>
          <w:szCs w:val="44"/>
        </w:rPr>
      </w:pPr>
    </w:p>
    <w:p>
      <w:pPr>
        <w:jc w:val="center"/>
        <w:rPr>
          <w:rFonts w:ascii="宋体"/>
          <w:b/>
          <w:bCs/>
          <w:color w:val="auto"/>
          <w:sz w:val="44"/>
          <w:szCs w:val="44"/>
        </w:rPr>
      </w:pPr>
      <w:r>
        <w:rPr>
          <w:rFonts w:hint="eastAsia" w:ascii="宋体" w:cs="宋体"/>
          <w:b/>
          <w:bCs/>
          <w:color w:val="auto"/>
          <w:sz w:val="44"/>
          <w:szCs w:val="44"/>
        </w:rPr>
        <w:t>目</w:t>
      </w:r>
      <w:r>
        <w:rPr>
          <w:rFonts w:ascii="宋体" w:cs="宋体"/>
          <w:b/>
          <w:bCs/>
          <w:color w:val="auto"/>
          <w:sz w:val="44"/>
          <w:szCs w:val="44"/>
        </w:rPr>
        <w:t xml:space="preserve">      </w:t>
      </w:r>
      <w:r>
        <w:rPr>
          <w:rFonts w:hint="eastAsia" w:ascii="宋体" w:cs="宋体"/>
          <w:b/>
          <w:bCs/>
          <w:color w:val="auto"/>
          <w:sz w:val="44"/>
          <w:szCs w:val="44"/>
        </w:rPr>
        <w:t>录</w:t>
      </w:r>
    </w:p>
    <w:p>
      <w:pPr>
        <w:jc w:val="center"/>
        <w:rPr>
          <w:rFonts w:ascii="宋体"/>
          <w:color w:val="auto"/>
        </w:rPr>
      </w:pPr>
    </w:p>
    <w:p>
      <w:pPr>
        <w:pStyle w:val="15"/>
        <w:tabs>
          <w:tab w:val="right" w:leader="dot" w:pos="9890"/>
        </w:tabs>
        <w:ind w:left="424"/>
        <w:rPr>
          <w:color w:val="auto"/>
        </w:rPr>
      </w:pPr>
    </w:p>
    <w:p>
      <w:pPr>
        <w:pStyle w:val="11"/>
        <w:adjustRightInd w:val="0"/>
        <w:snapToGrid w:val="0"/>
        <w:spacing w:line="360" w:lineRule="auto"/>
        <w:rPr>
          <w:rFonts w:hint="eastAsia" w:hAnsi="宋体"/>
          <w:b/>
          <w:color w:val="auto"/>
          <w:sz w:val="28"/>
          <w:szCs w:val="28"/>
        </w:rPr>
      </w:pPr>
      <w:r>
        <w:rPr>
          <w:rFonts w:hint="eastAsia" w:hAnsi="宋体"/>
          <w:b/>
          <w:color w:val="auto"/>
          <w:sz w:val="28"/>
          <w:szCs w:val="28"/>
        </w:rPr>
        <w:t>第一章  磋商邀请</w:t>
      </w:r>
    </w:p>
    <w:p>
      <w:pPr>
        <w:pStyle w:val="11"/>
        <w:adjustRightInd w:val="0"/>
        <w:snapToGrid w:val="0"/>
        <w:spacing w:line="360" w:lineRule="auto"/>
        <w:rPr>
          <w:rFonts w:hint="eastAsia" w:hAnsi="宋体"/>
          <w:b/>
          <w:color w:val="auto"/>
          <w:sz w:val="28"/>
          <w:szCs w:val="28"/>
        </w:rPr>
      </w:pPr>
      <w:r>
        <w:rPr>
          <w:rFonts w:hint="eastAsia" w:hAnsi="宋体"/>
          <w:b/>
          <w:color w:val="auto"/>
          <w:sz w:val="28"/>
          <w:szCs w:val="28"/>
        </w:rPr>
        <w:t>第二章  磋商须知</w:t>
      </w:r>
    </w:p>
    <w:p>
      <w:pPr>
        <w:tabs>
          <w:tab w:val="left" w:pos="1440"/>
        </w:tabs>
        <w:adjustRightInd w:val="0"/>
        <w:snapToGrid w:val="0"/>
        <w:spacing w:line="360" w:lineRule="auto"/>
        <w:ind w:firstLine="562" w:firstLineChars="200"/>
        <w:rPr>
          <w:rFonts w:hint="eastAsia" w:ascii="宋体" w:hAnsi="宋体"/>
          <w:color w:val="auto"/>
          <w:sz w:val="28"/>
          <w:szCs w:val="28"/>
        </w:rPr>
      </w:pPr>
      <w:r>
        <w:rPr>
          <w:rFonts w:hint="eastAsia" w:ascii="宋体" w:hAnsi="宋体"/>
          <w:color w:val="auto"/>
          <w:sz w:val="28"/>
          <w:szCs w:val="28"/>
        </w:rPr>
        <w:t>磋商须知前附表</w:t>
      </w:r>
    </w:p>
    <w:p>
      <w:pPr>
        <w:tabs>
          <w:tab w:val="left" w:pos="1440"/>
        </w:tabs>
        <w:adjustRightInd w:val="0"/>
        <w:snapToGrid w:val="0"/>
        <w:spacing w:line="360" w:lineRule="auto"/>
        <w:ind w:firstLine="562" w:firstLineChars="200"/>
        <w:rPr>
          <w:rFonts w:hint="eastAsia" w:ascii="宋体" w:hAnsi="宋体"/>
          <w:color w:val="auto"/>
          <w:sz w:val="28"/>
          <w:szCs w:val="28"/>
        </w:rPr>
      </w:pPr>
      <w:r>
        <w:rPr>
          <w:rFonts w:hint="eastAsia" w:ascii="宋体" w:hAnsi="宋体"/>
          <w:color w:val="auto"/>
          <w:sz w:val="28"/>
          <w:szCs w:val="28"/>
        </w:rPr>
        <w:t>磋商须知正文</w:t>
      </w:r>
    </w:p>
    <w:p>
      <w:pPr>
        <w:tabs>
          <w:tab w:val="left" w:pos="1440"/>
        </w:tabs>
        <w:adjustRightInd w:val="0"/>
        <w:snapToGrid w:val="0"/>
        <w:spacing w:line="360" w:lineRule="auto"/>
        <w:ind w:firstLine="843" w:firstLineChars="300"/>
        <w:rPr>
          <w:rFonts w:hint="eastAsia" w:ascii="宋体" w:hAnsi="宋体"/>
          <w:color w:val="auto"/>
          <w:sz w:val="28"/>
          <w:szCs w:val="28"/>
        </w:rPr>
      </w:pPr>
      <w:r>
        <w:rPr>
          <w:rFonts w:hint="eastAsia" w:ascii="宋体" w:hAnsi="宋体"/>
          <w:color w:val="auto"/>
          <w:sz w:val="28"/>
          <w:szCs w:val="28"/>
        </w:rPr>
        <w:t>一、说明</w:t>
      </w:r>
    </w:p>
    <w:p>
      <w:pPr>
        <w:tabs>
          <w:tab w:val="left" w:pos="1440"/>
        </w:tabs>
        <w:adjustRightInd w:val="0"/>
        <w:snapToGrid w:val="0"/>
        <w:spacing w:line="360" w:lineRule="auto"/>
        <w:ind w:firstLine="843" w:firstLineChars="300"/>
        <w:rPr>
          <w:rFonts w:hint="eastAsia" w:ascii="宋体" w:hAnsi="宋体"/>
          <w:color w:val="auto"/>
          <w:sz w:val="28"/>
          <w:szCs w:val="28"/>
        </w:rPr>
      </w:pPr>
      <w:r>
        <w:rPr>
          <w:rFonts w:hint="eastAsia" w:ascii="宋体" w:hAnsi="宋体"/>
          <w:color w:val="auto"/>
          <w:sz w:val="28"/>
          <w:szCs w:val="28"/>
        </w:rPr>
        <w:t>二、</w:t>
      </w:r>
      <w:r>
        <w:rPr>
          <w:rFonts w:hint="eastAsia" w:ascii="宋体" w:hAnsi="宋体"/>
          <w:bCs/>
          <w:color w:val="auto"/>
          <w:sz w:val="28"/>
          <w:szCs w:val="28"/>
        </w:rPr>
        <w:t>磋商</w:t>
      </w:r>
      <w:r>
        <w:rPr>
          <w:rFonts w:hint="eastAsia" w:ascii="宋体" w:hAnsi="宋体"/>
          <w:color w:val="auto"/>
          <w:sz w:val="28"/>
          <w:szCs w:val="28"/>
        </w:rPr>
        <w:t>文件</w:t>
      </w:r>
    </w:p>
    <w:p>
      <w:pPr>
        <w:adjustRightInd w:val="0"/>
        <w:snapToGrid w:val="0"/>
        <w:spacing w:line="360" w:lineRule="auto"/>
        <w:ind w:firstLine="843" w:firstLineChars="300"/>
        <w:rPr>
          <w:rFonts w:hint="eastAsia" w:ascii="宋体" w:hAnsi="宋体"/>
          <w:color w:val="auto"/>
          <w:sz w:val="28"/>
          <w:szCs w:val="28"/>
        </w:rPr>
      </w:pPr>
      <w:r>
        <w:rPr>
          <w:rFonts w:hint="eastAsia" w:ascii="宋体" w:hAnsi="宋体"/>
          <w:color w:val="auto"/>
          <w:sz w:val="28"/>
          <w:szCs w:val="28"/>
        </w:rPr>
        <w:t>三、响应文件</w:t>
      </w:r>
    </w:p>
    <w:p>
      <w:pPr>
        <w:adjustRightInd w:val="0"/>
        <w:snapToGrid w:val="0"/>
        <w:spacing w:line="360" w:lineRule="auto"/>
        <w:ind w:firstLine="843" w:firstLineChars="300"/>
        <w:rPr>
          <w:rFonts w:hint="eastAsia" w:ascii="宋体" w:hAnsi="宋体"/>
          <w:color w:val="auto"/>
          <w:sz w:val="28"/>
          <w:szCs w:val="28"/>
        </w:rPr>
      </w:pPr>
      <w:r>
        <w:rPr>
          <w:rFonts w:hint="eastAsia" w:ascii="宋体" w:hAnsi="宋体"/>
          <w:color w:val="auto"/>
          <w:sz w:val="28"/>
          <w:szCs w:val="28"/>
        </w:rPr>
        <w:t>四、响应文件的递交</w:t>
      </w:r>
    </w:p>
    <w:p>
      <w:pPr>
        <w:adjustRightInd w:val="0"/>
        <w:snapToGrid w:val="0"/>
        <w:spacing w:line="360" w:lineRule="auto"/>
        <w:ind w:firstLine="843" w:firstLineChars="300"/>
        <w:rPr>
          <w:rFonts w:hint="eastAsia" w:ascii="宋体" w:hAnsi="宋体"/>
          <w:bCs/>
          <w:color w:val="auto"/>
          <w:sz w:val="28"/>
          <w:szCs w:val="28"/>
        </w:rPr>
      </w:pPr>
      <w:r>
        <w:rPr>
          <w:rFonts w:hint="eastAsia" w:ascii="宋体" w:hAnsi="宋体"/>
          <w:bCs/>
          <w:color w:val="auto"/>
          <w:sz w:val="28"/>
          <w:szCs w:val="28"/>
        </w:rPr>
        <w:t>五、</w:t>
      </w:r>
      <w:r>
        <w:rPr>
          <w:rFonts w:hint="eastAsia" w:ascii="宋体" w:hAnsi="宋体"/>
          <w:color w:val="auto"/>
          <w:sz w:val="28"/>
          <w:szCs w:val="28"/>
        </w:rPr>
        <w:t>响应文件</w:t>
      </w:r>
      <w:r>
        <w:rPr>
          <w:rFonts w:hint="eastAsia" w:ascii="宋体" w:hAnsi="宋体"/>
          <w:bCs/>
          <w:color w:val="auto"/>
          <w:sz w:val="28"/>
          <w:szCs w:val="28"/>
        </w:rPr>
        <w:t>的</w:t>
      </w:r>
      <w:r>
        <w:rPr>
          <w:rFonts w:hint="eastAsia" w:ascii="宋体" w:hAnsi="宋体"/>
          <w:color w:val="auto"/>
          <w:sz w:val="28"/>
          <w:szCs w:val="28"/>
        </w:rPr>
        <w:t>磋商与评审</w:t>
      </w:r>
    </w:p>
    <w:p>
      <w:pPr>
        <w:adjustRightInd w:val="0"/>
        <w:snapToGrid w:val="0"/>
        <w:spacing w:line="360" w:lineRule="auto"/>
        <w:ind w:firstLine="843" w:firstLineChars="300"/>
        <w:rPr>
          <w:rFonts w:hint="eastAsia" w:ascii="宋体" w:hAnsi="宋体"/>
          <w:color w:val="auto"/>
          <w:sz w:val="28"/>
          <w:szCs w:val="28"/>
        </w:rPr>
      </w:pPr>
      <w:r>
        <w:rPr>
          <w:rFonts w:hint="eastAsia" w:ascii="宋体" w:hAnsi="宋体"/>
          <w:color w:val="auto"/>
          <w:sz w:val="28"/>
          <w:szCs w:val="28"/>
        </w:rPr>
        <w:t>六、成交结果信息公布与授予合同</w:t>
      </w:r>
    </w:p>
    <w:p>
      <w:pPr>
        <w:adjustRightInd w:val="0"/>
        <w:snapToGrid w:val="0"/>
        <w:spacing w:line="360" w:lineRule="auto"/>
        <w:ind w:firstLine="843" w:firstLineChars="300"/>
        <w:jc w:val="left"/>
        <w:rPr>
          <w:rFonts w:hint="eastAsia" w:ascii="宋体" w:hAnsi="宋体"/>
          <w:color w:val="auto"/>
          <w:sz w:val="28"/>
          <w:szCs w:val="28"/>
        </w:rPr>
      </w:pPr>
      <w:r>
        <w:rPr>
          <w:rFonts w:hint="eastAsia" w:ascii="宋体" w:hAnsi="宋体"/>
          <w:color w:val="auto"/>
          <w:sz w:val="28"/>
          <w:szCs w:val="28"/>
        </w:rPr>
        <w:t>七、其他规定</w:t>
      </w:r>
    </w:p>
    <w:p>
      <w:pPr>
        <w:adjustRightInd w:val="0"/>
        <w:snapToGrid w:val="0"/>
        <w:spacing w:line="360" w:lineRule="auto"/>
        <w:rPr>
          <w:rFonts w:hint="eastAsia" w:ascii="宋体" w:hAnsi="宋体"/>
          <w:b/>
          <w:color w:val="auto"/>
          <w:sz w:val="28"/>
          <w:szCs w:val="28"/>
        </w:rPr>
      </w:pPr>
      <w:r>
        <w:rPr>
          <w:rFonts w:hint="eastAsia" w:ascii="宋体" w:hAnsi="宋体"/>
          <w:b/>
          <w:color w:val="auto"/>
          <w:sz w:val="28"/>
          <w:szCs w:val="28"/>
        </w:rPr>
        <w:t>第三章  采购合同格式</w:t>
      </w:r>
    </w:p>
    <w:p>
      <w:pPr>
        <w:adjustRightInd w:val="0"/>
        <w:snapToGrid w:val="0"/>
        <w:spacing w:line="360" w:lineRule="auto"/>
        <w:rPr>
          <w:rFonts w:hint="eastAsia" w:ascii="宋体" w:hAnsi="宋体"/>
          <w:b/>
          <w:color w:val="auto"/>
          <w:sz w:val="28"/>
          <w:szCs w:val="28"/>
        </w:rPr>
      </w:pPr>
      <w:r>
        <w:rPr>
          <w:rFonts w:hint="eastAsia" w:ascii="宋体" w:hAnsi="宋体"/>
          <w:b/>
          <w:color w:val="auto"/>
          <w:sz w:val="28"/>
          <w:szCs w:val="28"/>
        </w:rPr>
        <w:t xml:space="preserve">第四章  </w:t>
      </w:r>
      <w:r>
        <w:rPr>
          <w:rFonts w:hint="eastAsia" w:hAnsi="宋体"/>
          <w:b/>
          <w:color w:val="auto"/>
          <w:sz w:val="28"/>
          <w:szCs w:val="28"/>
        </w:rPr>
        <w:t>采购需求</w:t>
      </w:r>
    </w:p>
    <w:p>
      <w:pPr>
        <w:pStyle w:val="11"/>
        <w:adjustRightInd w:val="0"/>
        <w:snapToGrid w:val="0"/>
        <w:spacing w:line="360" w:lineRule="auto"/>
        <w:rPr>
          <w:rFonts w:hint="eastAsia" w:hAnsi="宋体"/>
          <w:b/>
          <w:color w:val="auto"/>
          <w:sz w:val="28"/>
          <w:szCs w:val="28"/>
        </w:rPr>
      </w:pPr>
      <w:r>
        <w:rPr>
          <w:rFonts w:hint="eastAsia" w:hAnsi="宋体"/>
          <w:b/>
          <w:color w:val="auto"/>
          <w:sz w:val="28"/>
          <w:szCs w:val="28"/>
        </w:rPr>
        <w:t>第五章  响应文件组成</w:t>
      </w:r>
    </w:p>
    <w:p>
      <w:pPr>
        <w:pStyle w:val="11"/>
        <w:adjustRightInd w:val="0"/>
        <w:snapToGrid w:val="0"/>
        <w:spacing w:line="360" w:lineRule="auto"/>
        <w:jc w:val="left"/>
        <w:rPr>
          <w:rFonts w:hAnsi="宋体"/>
          <w:b/>
          <w:color w:val="auto"/>
          <w:sz w:val="28"/>
          <w:szCs w:val="28"/>
        </w:rPr>
      </w:pPr>
    </w:p>
    <w:p>
      <w:pPr>
        <w:rPr>
          <w:color w:val="auto"/>
        </w:rPr>
      </w:pPr>
    </w:p>
    <w:p>
      <w:pPr>
        <w:jc w:val="center"/>
        <w:rPr>
          <w:rFonts w:hint="eastAsia" w:ascii="黑体" w:eastAsia="黑体" w:cs="黑体"/>
          <w:b/>
          <w:bCs/>
          <w:color w:val="auto"/>
          <w:sz w:val="36"/>
          <w:szCs w:val="36"/>
        </w:rPr>
        <w:sectPr>
          <w:footerReference r:id="rId5" w:type="default"/>
          <w:pgSz w:w="11906" w:h="16838"/>
          <w:pgMar w:top="1440" w:right="1080" w:bottom="1440" w:left="1080" w:header="851" w:footer="992" w:gutter="0"/>
          <w:pgNumType w:start="1"/>
          <w:cols w:space="720" w:num="1"/>
          <w:rtlGutter w:val="0"/>
          <w:docGrid w:type="linesAndChars" w:linePitch="312" w:charSpace="409"/>
        </w:sectPr>
      </w:pPr>
    </w:p>
    <w:p>
      <w:pPr>
        <w:jc w:val="center"/>
        <w:rPr>
          <w:rFonts w:ascii="黑体" w:eastAsia="黑体"/>
          <w:b/>
          <w:bCs/>
          <w:color w:val="auto"/>
          <w:sz w:val="32"/>
          <w:szCs w:val="32"/>
        </w:rPr>
      </w:pPr>
      <w:r>
        <w:rPr>
          <w:rFonts w:hint="eastAsia" w:ascii="黑体" w:eastAsia="黑体" w:cs="黑体"/>
          <w:b/>
          <w:bCs/>
          <w:color w:val="auto"/>
          <w:sz w:val="36"/>
          <w:szCs w:val="36"/>
        </w:rPr>
        <w:t>第一章</w:t>
      </w:r>
      <w:r>
        <w:rPr>
          <w:rFonts w:ascii="黑体" w:eastAsia="黑体" w:cs="黑体"/>
          <w:b/>
          <w:bCs/>
          <w:color w:val="auto"/>
          <w:sz w:val="36"/>
          <w:szCs w:val="36"/>
        </w:rPr>
        <w:t xml:space="preserve"> </w:t>
      </w:r>
      <w:r>
        <w:rPr>
          <w:rFonts w:hint="eastAsia" w:ascii="黑体" w:eastAsia="黑体" w:cs="黑体"/>
          <w:b/>
          <w:bCs/>
          <w:color w:val="auto"/>
          <w:sz w:val="36"/>
          <w:szCs w:val="36"/>
          <w:lang w:eastAsia="zh-CN"/>
        </w:rPr>
        <w:t>竞争</w:t>
      </w:r>
      <w:r>
        <w:rPr>
          <w:rFonts w:hint="eastAsia" w:ascii="黑体" w:eastAsia="黑体" w:cs="黑体"/>
          <w:b/>
          <w:bCs/>
          <w:color w:val="auto"/>
          <w:sz w:val="36"/>
          <w:szCs w:val="36"/>
          <w:lang w:val="en-US" w:eastAsia="zh-CN"/>
        </w:rPr>
        <w:t>性</w:t>
      </w:r>
      <w:r>
        <w:rPr>
          <w:rFonts w:hint="eastAsia" w:ascii="黑体" w:eastAsia="黑体" w:cs="黑体"/>
          <w:b/>
          <w:bCs/>
          <w:color w:val="auto"/>
          <w:sz w:val="36"/>
          <w:szCs w:val="36"/>
          <w:lang w:eastAsia="zh-CN"/>
        </w:rPr>
        <w:t>磋商</w:t>
      </w:r>
      <w:r>
        <w:rPr>
          <w:rFonts w:hint="eastAsia" w:ascii="黑体" w:eastAsia="黑体" w:cs="黑体"/>
          <w:b/>
          <w:bCs/>
          <w:color w:val="auto"/>
          <w:sz w:val="36"/>
          <w:szCs w:val="36"/>
        </w:rPr>
        <w:t>邀请公告</w:t>
      </w:r>
    </w:p>
    <w:p>
      <w:pPr>
        <w:jc w:val="center"/>
        <w:rPr>
          <w:rFonts w:ascii="宋体"/>
          <w:b/>
          <w:bCs/>
          <w:color w:val="auto"/>
          <w:sz w:val="18"/>
          <w:szCs w:val="18"/>
        </w:rPr>
      </w:pPr>
    </w:p>
    <w:p>
      <w:pPr>
        <w:spacing w:line="360" w:lineRule="auto"/>
        <w:ind w:firstLine="527" w:firstLineChars="250"/>
        <w:jc w:val="left"/>
        <w:rPr>
          <w:rFonts w:hint="eastAsia" w:ascii="宋体" w:hAnsi="宋体" w:cs="宋体"/>
          <w:color w:val="auto"/>
          <w:szCs w:val="21"/>
        </w:rPr>
      </w:pPr>
      <w:r>
        <w:rPr>
          <w:rFonts w:hint="eastAsia" w:ascii="宋体" w:hAnsi="宋体" w:cs="宋体"/>
          <w:color w:val="auto"/>
          <w:szCs w:val="21"/>
          <w:u w:val="single"/>
          <w:lang w:val="en-US" w:eastAsia="zh-CN"/>
        </w:rPr>
        <w:t>东霖工程管理有限公司</w:t>
      </w:r>
      <w:r>
        <w:rPr>
          <w:rFonts w:hint="eastAsia" w:ascii="宋体" w:hAnsi="宋体" w:cs="宋体"/>
          <w:color w:val="auto"/>
          <w:szCs w:val="21"/>
        </w:rPr>
        <w:t>受</w:t>
      </w:r>
      <w:r>
        <w:rPr>
          <w:rFonts w:hint="eastAsia" w:ascii="宋体" w:hAnsi="宋体" w:cs="宋体"/>
          <w:color w:val="auto"/>
          <w:szCs w:val="21"/>
          <w:u w:val="single"/>
        </w:rPr>
        <w:t xml:space="preserve"> 娄底职业技术学院</w:t>
      </w:r>
      <w:r>
        <w:rPr>
          <w:rFonts w:hint="eastAsia" w:ascii="宋体" w:hAnsi="宋体" w:cs="宋体"/>
          <w:color w:val="auto"/>
          <w:szCs w:val="21"/>
        </w:rPr>
        <w:t>的委托,对其</w:t>
      </w:r>
      <w:r>
        <w:rPr>
          <w:rFonts w:hint="eastAsia" w:ascii="宋体" w:hAnsi="宋体" w:cs="宋体"/>
          <w:color w:val="auto"/>
          <w:szCs w:val="21"/>
          <w:u w:val="single"/>
          <w:lang w:eastAsia="zh-CN"/>
        </w:rPr>
        <w:t>娄底职业技术学院大国长技项目-现代农机数字博物馆(第一期)委托开发项目</w:t>
      </w:r>
      <w:r>
        <w:rPr>
          <w:rFonts w:hint="eastAsia" w:ascii="宋体" w:hAnsi="宋体" w:cs="宋体"/>
          <w:color w:val="auto"/>
          <w:szCs w:val="21"/>
        </w:rPr>
        <w:t>进行</w:t>
      </w:r>
      <w:r>
        <w:rPr>
          <w:rFonts w:hint="eastAsia" w:ascii="宋体" w:hAnsi="宋体" w:cs="宋体"/>
          <w:color w:val="auto"/>
          <w:szCs w:val="21"/>
          <w:lang w:eastAsia="zh-CN"/>
        </w:rPr>
        <w:t>竞争</w:t>
      </w:r>
      <w:r>
        <w:rPr>
          <w:rFonts w:hint="eastAsia" w:ascii="宋体" w:hAnsi="宋体" w:cs="宋体"/>
          <w:color w:val="auto"/>
          <w:szCs w:val="21"/>
          <w:lang w:val="en-US" w:eastAsia="zh-CN"/>
        </w:rPr>
        <w:t>性</w:t>
      </w:r>
      <w:r>
        <w:rPr>
          <w:rFonts w:hint="eastAsia" w:ascii="宋体" w:hAnsi="宋体" w:cs="宋体"/>
          <w:color w:val="auto"/>
          <w:szCs w:val="21"/>
          <w:lang w:eastAsia="zh-CN"/>
        </w:rPr>
        <w:t>磋商</w:t>
      </w:r>
      <w:r>
        <w:rPr>
          <w:rFonts w:hint="eastAsia" w:ascii="宋体" w:hAnsi="宋体" w:cs="宋体"/>
          <w:color w:val="auto"/>
          <w:szCs w:val="21"/>
        </w:rPr>
        <w:t>采购。邀请符合资格的供应商参与</w:t>
      </w:r>
      <w:r>
        <w:rPr>
          <w:rFonts w:hint="eastAsia" w:ascii="宋体" w:hAnsi="宋体" w:cs="宋体"/>
          <w:color w:val="auto"/>
          <w:szCs w:val="21"/>
          <w:lang w:eastAsia="zh-CN"/>
        </w:rPr>
        <w:t>竞争</w:t>
      </w:r>
      <w:r>
        <w:rPr>
          <w:rFonts w:hint="eastAsia" w:ascii="宋体" w:hAnsi="宋体" w:cs="宋体"/>
          <w:color w:val="auto"/>
          <w:szCs w:val="21"/>
          <w:lang w:val="en-US" w:eastAsia="zh-CN"/>
        </w:rPr>
        <w:t>性</w:t>
      </w:r>
      <w:r>
        <w:rPr>
          <w:rFonts w:hint="eastAsia" w:ascii="宋体" w:hAnsi="宋体" w:cs="宋体"/>
          <w:color w:val="auto"/>
          <w:szCs w:val="21"/>
          <w:lang w:eastAsia="zh-CN"/>
        </w:rPr>
        <w:t>磋商</w:t>
      </w:r>
      <w:r>
        <w:rPr>
          <w:rFonts w:hint="eastAsia" w:ascii="宋体" w:hAnsi="宋体" w:cs="宋体"/>
          <w:color w:val="auto"/>
          <w:szCs w:val="21"/>
        </w:rPr>
        <w:t>采购活动。</w:t>
      </w:r>
    </w:p>
    <w:p>
      <w:pPr>
        <w:spacing w:line="360" w:lineRule="auto"/>
        <w:jc w:val="left"/>
        <w:rPr>
          <w:rFonts w:hint="eastAsia" w:ascii="宋体" w:hAnsi="宋体" w:cs="宋体"/>
          <w:color w:val="auto"/>
          <w:szCs w:val="21"/>
        </w:rPr>
      </w:pPr>
      <w:r>
        <w:rPr>
          <w:rFonts w:hint="eastAsia" w:ascii="宋体" w:hAnsi="宋体" w:cs="宋体"/>
          <w:b/>
          <w:bCs/>
          <w:color w:val="auto"/>
          <w:szCs w:val="21"/>
        </w:rPr>
        <w:t>一、项目概括与招标范围：</w:t>
      </w:r>
    </w:p>
    <w:p>
      <w:pPr>
        <w:spacing w:line="360" w:lineRule="auto"/>
        <w:ind w:left="1899" w:leftChars="200" w:hanging="1477" w:hangingChars="700"/>
        <w:jc w:val="left"/>
        <w:rPr>
          <w:rFonts w:hint="eastAsia" w:ascii="宋体" w:hAnsi="宋体" w:cs="宋体"/>
          <w:color w:val="auto"/>
          <w:szCs w:val="21"/>
          <w:lang w:eastAsia="zh-CN"/>
        </w:rPr>
      </w:pPr>
      <w:r>
        <w:rPr>
          <w:rFonts w:hint="eastAsia" w:ascii="宋体" w:hAnsi="宋体" w:cs="宋体"/>
          <w:color w:val="auto"/>
          <w:szCs w:val="21"/>
        </w:rPr>
        <w:t>1.1项目名称：</w:t>
      </w:r>
      <w:r>
        <w:rPr>
          <w:rFonts w:hint="eastAsia" w:ascii="宋体" w:hAnsi="宋体" w:cs="宋体"/>
          <w:color w:val="auto"/>
          <w:szCs w:val="21"/>
          <w:lang w:eastAsia="zh-CN"/>
        </w:rPr>
        <w:t>娄底职业技术学院大国长技项目-现代农机数字博物馆(第一期)</w:t>
      </w:r>
    </w:p>
    <w:p>
      <w:pPr>
        <w:spacing w:line="360" w:lineRule="auto"/>
        <w:ind w:left="1899" w:leftChars="900" w:firstLine="0" w:firstLineChars="0"/>
        <w:jc w:val="left"/>
        <w:rPr>
          <w:rFonts w:hint="eastAsia" w:ascii="宋体" w:hAnsi="宋体" w:eastAsia="宋体" w:cs="宋体"/>
          <w:color w:val="auto"/>
          <w:szCs w:val="21"/>
          <w:u w:val="single"/>
          <w:lang w:eastAsia="zh-CN"/>
        </w:rPr>
      </w:pPr>
      <w:r>
        <w:rPr>
          <w:rFonts w:hint="eastAsia" w:ascii="宋体" w:hAnsi="宋体" w:cs="宋体"/>
          <w:color w:val="auto"/>
          <w:szCs w:val="21"/>
          <w:lang w:eastAsia="zh-CN"/>
        </w:rPr>
        <w:t>委托开发项目</w:t>
      </w:r>
    </w:p>
    <w:p>
      <w:pPr>
        <w:spacing w:line="360" w:lineRule="auto"/>
        <w:ind w:firstLine="422" w:firstLineChars="200"/>
        <w:jc w:val="left"/>
        <w:rPr>
          <w:rFonts w:hint="eastAsia" w:ascii="宋体" w:hAnsi="宋体" w:eastAsia="宋体" w:cs="宋体"/>
          <w:color w:val="auto"/>
          <w:kern w:val="0"/>
          <w:szCs w:val="21"/>
          <w:u w:val="single"/>
          <w:shd w:val="clear" w:color="auto" w:fill="FFFFFF"/>
          <w:lang w:eastAsia="zh-CN"/>
        </w:rPr>
      </w:pPr>
      <w:r>
        <w:rPr>
          <w:rFonts w:hint="eastAsia" w:ascii="宋体" w:hAnsi="宋体" w:cs="宋体"/>
          <w:color w:val="auto"/>
          <w:szCs w:val="21"/>
        </w:rPr>
        <w:t>1.2采购代理编号:</w:t>
      </w:r>
      <w:r>
        <w:rPr>
          <w:rFonts w:hint="eastAsia" w:ascii="宋体" w:hAnsi="宋体" w:cs="宋体"/>
          <w:color w:val="auto"/>
          <w:szCs w:val="21"/>
          <w:lang w:val="en-US" w:eastAsia="zh-CN"/>
        </w:rPr>
        <w:t>DLGCLD-2024-Z006</w:t>
      </w:r>
    </w:p>
    <w:p>
      <w:pPr>
        <w:spacing w:line="360" w:lineRule="auto"/>
        <w:ind w:firstLine="422" w:firstLineChars="200"/>
        <w:jc w:val="left"/>
        <w:rPr>
          <w:rFonts w:hint="eastAsia" w:ascii="宋体" w:hAnsi="宋体" w:eastAsia="宋体" w:cs="宋体"/>
          <w:color w:val="auto"/>
          <w:szCs w:val="21"/>
          <w:lang w:eastAsia="zh-CN"/>
        </w:rPr>
      </w:pPr>
      <w:r>
        <w:rPr>
          <w:rFonts w:hint="eastAsia" w:ascii="宋体" w:hAnsi="宋体" w:cs="宋体"/>
          <w:color w:val="auto"/>
          <w:szCs w:val="21"/>
        </w:rPr>
        <w:t>1.3采购方式：</w:t>
      </w:r>
      <w:r>
        <w:rPr>
          <w:rFonts w:hint="eastAsia" w:ascii="宋体" w:hAnsi="宋体" w:cs="宋体"/>
          <w:color w:val="auto"/>
          <w:szCs w:val="21"/>
          <w:lang w:eastAsia="zh-CN"/>
        </w:rPr>
        <w:t>竞争性磋商</w:t>
      </w:r>
    </w:p>
    <w:p>
      <w:pPr>
        <w:tabs>
          <w:tab w:val="left" w:pos="6784"/>
        </w:tabs>
        <w:spacing w:line="360" w:lineRule="auto"/>
        <w:ind w:firstLine="422" w:firstLineChars="200"/>
        <w:jc w:val="left"/>
        <w:rPr>
          <w:rFonts w:hint="eastAsia" w:ascii="宋体" w:hAnsi="宋体" w:cs="宋体"/>
          <w:color w:val="auto"/>
          <w:szCs w:val="21"/>
        </w:rPr>
      </w:pPr>
      <w:r>
        <w:rPr>
          <w:rFonts w:hint="eastAsia" w:ascii="宋体" w:hAnsi="宋体" w:cs="宋体"/>
          <w:color w:val="auto"/>
          <w:szCs w:val="21"/>
        </w:rPr>
        <w:t xml:space="preserve">1.4采购内容：具体详见第四章采购需求  </w:t>
      </w:r>
      <w:r>
        <w:rPr>
          <w:rFonts w:ascii="宋体" w:hAnsi="宋体" w:cs="宋体"/>
          <w:color w:val="auto"/>
          <w:szCs w:val="21"/>
        </w:rPr>
        <w:tab/>
      </w:r>
    </w:p>
    <w:p>
      <w:pPr>
        <w:spacing w:line="360" w:lineRule="auto"/>
        <w:ind w:firstLine="422" w:firstLineChars="200"/>
        <w:jc w:val="left"/>
        <w:rPr>
          <w:rFonts w:hint="eastAsia" w:ascii="宋体" w:hAnsi="宋体" w:cs="宋体"/>
          <w:color w:val="auto"/>
          <w:szCs w:val="21"/>
        </w:rPr>
      </w:pPr>
      <w:r>
        <w:rPr>
          <w:rFonts w:hint="eastAsia" w:ascii="宋体" w:hAnsi="宋体" w:cs="宋体"/>
          <w:color w:val="auto"/>
          <w:szCs w:val="21"/>
        </w:rPr>
        <w:t>1.5采购预算金额（最高限价）：59.97万元</w:t>
      </w:r>
    </w:p>
    <w:p>
      <w:pPr>
        <w:spacing w:line="360" w:lineRule="auto"/>
        <w:ind w:firstLine="422" w:firstLineChars="200"/>
        <w:jc w:val="left"/>
        <w:rPr>
          <w:rFonts w:hint="eastAsia" w:ascii="宋体" w:hAnsi="宋体" w:cs="宋体"/>
          <w:color w:val="auto"/>
          <w:szCs w:val="21"/>
        </w:rPr>
      </w:pPr>
      <w:r>
        <w:rPr>
          <w:rFonts w:hint="eastAsia" w:ascii="宋体" w:hAnsi="宋体" w:cs="宋体"/>
          <w:color w:val="auto"/>
          <w:szCs w:val="21"/>
        </w:rPr>
        <w:t>1.6采购项目需要落实的采购政策（详见采购文件）</w:t>
      </w:r>
    </w:p>
    <w:p>
      <w:pPr>
        <w:numPr>
          <w:ilvl w:val="0"/>
          <w:numId w:val="1"/>
        </w:numPr>
        <w:spacing w:line="360" w:lineRule="auto"/>
        <w:jc w:val="left"/>
        <w:rPr>
          <w:rFonts w:hint="eastAsia" w:ascii="宋体" w:hAnsi="宋体" w:cs="宋体"/>
          <w:b/>
          <w:bCs/>
          <w:color w:val="auto"/>
          <w:szCs w:val="21"/>
        </w:rPr>
      </w:pPr>
      <w:r>
        <w:rPr>
          <w:rFonts w:hint="eastAsia" w:ascii="宋体" w:hAnsi="宋体" w:cs="宋体"/>
          <w:b/>
          <w:bCs/>
          <w:color w:val="auto"/>
          <w:szCs w:val="21"/>
        </w:rPr>
        <w:t>供应商资质要求：</w:t>
      </w:r>
    </w:p>
    <w:p>
      <w:pPr>
        <w:spacing w:line="360" w:lineRule="auto"/>
        <w:ind w:firstLine="422" w:firstLineChars="200"/>
        <w:jc w:val="left"/>
        <w:rPr>
          <w:rFonts w:hint="eastAsia" w:ascii="宋体" w:hAnsi="宋体" w:cs="宋体"/>
          <w:b w:val="0"/>
          <w:bCs w:val="0"/>
          <w:color w:val="auto"/>
          <w:szCs w:val="21"/>
        </w:rPr>
      </w:pPr>
      <w:r>
        <w:rPr>
          <w:rFonts w:hint="eastAsia" w:ascii="宋体" w:hAnsi="宋体" w:cs="宋体"/>
          <w:b/>
          <w:bCs/>
          <w:color w:val="auto"/>
          <w:szCs w:val="21"/>
        </w:rPr>
        <w:t>(一)基本资格条件</w:t>
      </w:r>
      <w:r>
        <w:rPr>
          <w:rFonts w:hint="eastAsia" w:ascii="宋体" w:hAnsi="宋体" w:cs="宋体"/>
          <w:b w:val="0"/>
          <w:bCs w:val="0"/>
          <w:color w:val="auto"/>
          <w:szCs w:val="21"/>
        </w:rPr>
        <w:t>：符合《中华人民共和国政府采购法》</w:t>
      </w:r>
    </w:p>
    <w:p>
      <w:pPr>
        <w:spacing w:line="360" w:lineRule="auto"/>
        <w:ind w:firstLine="422" w:firstLineChars="200"/>
        <w:jc w:val="left"/>
        <w:rPr>
          <w:rFonts w:hint="eastAsia" w:ascii="宋体" w:hAnsi="宋体" w:cs="宋体"/>
          <w:b w:val="0"/>
          <w:bCs w:val="0"/>
          <w:color w:val="auto"/>
          <w:szCs w:val="21"/>
        </w:rPr>
      </w:pPr>
      <w:r>
        <w:rPr>
          <w:rFonts w:hint="eastAsia" w:ascii="宋体" w:hAnsi="宋体" w:cs="宋体"/>
          <w:b w:val="0"/>
          <w:bCs w:val="0"/>
          <w:color w:val="auto"/>
          <w:szCs w:val="21"/>
        </w:rPr>
        <w:t>第二十二条规定的供应商基本资质条件：</w:t>
      </w:r>
    </w:p>
    <w:p>
      <w:pPr>
        <w:spacing w:line="360" w:lineRule="auto"/>
        <w:ind w:firstLine="422" w:firstLineChars="200"/>
        <w:jc w:val="left"/>
        <w:rPr>
          <w:rFonts w:hint="eastAsia" w:ascii="宋体" w:hAnsi="宋体" w:cs="宋体"/>
          <w:b w:val="0"/>
          <w:bCs w:val="0"/>
          <w:color w:val="auto"/>
          <w:szCs w:val="21"/>
        </w:rPr>
      </w:pPr>
      <w:r>
        <w:rPr>
          <w:rFonts w:hint="eastAsia" w:ascii="宋体" w:hAnsi="宋体" w:cs="宋体"/>
          <w:b w:val="0"/>
          <w:bCs w:val="0"/>
          <w:color w:val="auto"/>
          <w:szCs w:val="21"/>
        </w:rPr>
        <w:t>1.具有独立承担民事责任的能力；</w:t>
      </w:r>
    </w:p>
    <w:p>
      <w:pPr>
        <w:spacing w:line="360" w:lineRule="auto"/>
        <w:ind w:firstLine="422" w:firstLineChars="200"/>
        <w:jc w:val="left"/>
        <w:rPr>
          <w:rFonts w:hint="eastAsia" w:ascii="宋体" w:hAnsi="宋体" w:cs="宋体"/>
          <w:b w:val="0"/>
          <w:bCs w:val="0"/>
          <w:color w:val="auto"/>
          <w:szCs w:val="21"/>
        </w:rPr>
      </w:pPr>
      <w:r>
        <w:rPr>
          <w:rFonts w:hint="eastAsia" w:ascii="宋体" w:hAnsi="宋体" w:cs="宋体"/>
          <w:b w:val="0"/>
          <w:bCs w:val="0"/>
          <w:color w:val="auto"/>
          <w:szCs w:val="21"/>
        </w:rPr>
        <w:t>2.具有良好的商业信誉和健全的财务会计制度：</w:t>
      </w:r>
    </w:p>
    <w:p>
      <w:pPr>
        <w:spacing w:line="360" w:lineRule="auto"/>
        <w:ind w:firstLine="422" w:firstLineChars="200"/>
        <w:jc w:val="left"/>
        <w:rPr>
          <w:rFonts w:hint="eastAsia" w:ascii="宋体" w:hAnsi="宋体" w:cs="宋体"/>
          <w:b w:val="0"/>
          <w:bCs w:val="0"/>
          <w:color w:val="auto"/>
          <w:szCs w:val="21"/>
        </w:rPr>
      </w:pPr>
      <w:r>
        <w:rPr>
          <w:rFonts w:hint="eastAsia" w:ascii="宋体" w:hAnsi="宋体" w:cs="宋体"/>
          <w:b w:val="0"/>
          <w:bCs w:val="0"/>
          <w:color w:val="auto"/>
          <w:szCs w:val="21"/>
        </w:rPr>
        <w:t>3.具有履行合同所必需的设备和专业技术能力；</w:t>
      </w:r>
    </w:p>
    <w:p>
      <w:pPr>
        <w:spacing w:line="360" w:lineRule="auto"/>
        <w:ind w:firstLine="422" w:firstLineChars="200"/>
        <w:jc w:val="left"/>
        <w:rPr>
          <w:rFonts w:hint="eastAsia" w:ascii="宋体" w:hAnsi="宋体" w:cs="宋体"/>
          <w:b w:val="0"/>
          <w:bCs w:val="0"/>
          <w:color w:val="auto"/>
          <w:szCs w:val="21"/>
        </w:rPr>
      </w:pPr>
      <w:r>
        <w:rPr>
          <w:rFonts w:hint="eastAsia" w:ascii="宋体" w:hAnsi="宋体" w:cs="宋体"/>
          <w:b w:val="0"/>
          <w:bCs w:val="0"/>
          <w:color w:val="auto"/>
          <w:szCs w:val="21"/>
        </w:rPr>
        <w:t>4.有依法缴纳税收和社会保障资金的良好记录；</w:t>
      </w:r>
    </w:p>
    <w:p>
      <w:pPr>
        <w:spacing w:line="360" w:lineRule="auto"/>
        <w:ind w:firstLine="422" w:firstLineChars="200"/>
        <w:jc w:val="left"/>
        <w:rPr>
          <w:rFonts w:hint="eastAsia" w:ascii="宋体" w:hAnsi="宋体" w:cs="宋体"/>
          <w:b w:val="0"/>
          <w:bCs w:val="0"/>
          <w:color w:val="auto"/>
          <w:szCs w:val="21"/>
        </w:rPr>
      </w:pPr>
      <w:r>
        <w:rPr>
          <w:rFonts w:hint="eastAsia" w:ascii="宋体" w:hAnsi="宋体" w:cs="宋体"/>
          <w:b w:val="0"/>
          <w:bCs w:val="0"/>
          <w:color w:val="auto"/>
          <w:szCs w:val="21"/>
        </w:rPr>
        <w:t>5.参加政府采购活动前三年内，在经营活动中没有重大违法记录：</w:t>
      </w:r>
    </w:p>
    <w:p>
      <w:pPr>
        <w:spacing w:line="360" w:lineRule="auto"/>
        <w:ind w:firstLine="422" w:firstLineChars="200"/>
        <w:jc w:val="left"/>
        <w:rPr>
          <w:rFonts w:hint="eastAsia" w:ascii="宋体" w:hAnsi="宋体" w:cs="宋体"/>
          <w:b w:val="0"/>
          <w:bCs w:val="0"/>
          <w:color w:val="auto"/>
          <w:szCs w:val="21"/>
        </w:rPr>
      </w:pPr>
      <w:r>
        <w:rPr>
          <w:rFonts w:hint="eastAsia" w:ascii="宋体" w:hAnsi="宋体" w:cs="宋体"/>
          <w:b w:val="0"/>
          <w:bCs w:val="0"/>
          <w:color w:val="auto"/>
          <w:szCs w:val="21"/>
        </w:rPr>
        <w:t>6.法律、行政法规规定的其他条件。</w:t>
      </w:r>
    </w:p>
    <w:p>
      <w:pPr>
        <w:spacing w:line="360" w:lineRule="auto"/>
        <w:ind w:firstLine="422" w:firstLineChars="200"/>
        <w:jc w:val="left"/>
        <w:rPr>
          <w:rFonts w:hint="eastAsia" w:ascii="宋体" w:hAnsi="宋体" w:cs="宋体"/>
          <w:b w:val="0"/>
          <w:bCs w:val="0"/>
          <w:color w:val="auto"/>
          <w:szCs w:val="21"/>
        </w:rPr>
      </w:pPr>
      <w:r>
        <w:rPr>
          <w:rFonts w:hint="eastAsia" w:ascii="宋体" w:hAnsi="宋体" w:cs="宋体"/>
          <w:b w:val="0"/>
          <w:bCs w:val="0"/>
          <w:color w:val="auto"/>
          <w:szCs w:val="21"/>
        </w:rPr>
        <w:t>(二)根据《湖南省财政厅关于政府采购促进中小企业发展有关措施的通知》以上基本资格条件中的2、3、4、5证明文件可以以承诺方式递交，如果是承诺方式，请提供《湖南省政府采购供应商资质承诺函》</w:t>
      </w:r>
    </w:p>
    <w:p>
      <w:pPr>
        <w:spacing w:line="360" w:lineRule="auto"/>
        <w:ind w:firstLine="422" w:firstLineChars="200"/>
        <w:jc w:val="left"/>
        <w:rPr>
          <w:rFonts w:hint="eastAsia" w:ascii="宋体" w:hAnsi="宋体" w:cs="宋体"/>
          <w:b w:val="0"/>
          <w:bCs w:val="0"/>
          <w:color w:val="auto"/>
          <w:szCs w:val="21"/>
        </w:rPr>
      </w:pPr>
      <w:r>
        <w:rPr>
          <w:rFonts w:hint="eastAsia" w:ascii="宋体" w:hAnsi="宋体" w:cs="宋体"/>
          <w:b w:val="0"/>
          <w:bCs w:val="0"/>
          <w:color w:val="auto"/>
          <w:szCs w:val="21"/>
        </w:rPr>
        <w:t>（三）投标人必须有相关资质，提供有效的法人营业执照副本复印件。</w:t>
      </w:r>
    </w:p>
    <w:p>
      <w:pPr>
        <w:spacing w:line="360" w:lineRule="auto"/>
        <w:ind w:firstLine="422" w:firstLineChars="200"/>
        <w:jc w:val="left"/>
        <w:rPr>
          <w:rFonts w:hint="eastAsia"/>
          <w:color w:val="auto"/>
          <w:lang w:val="en-US" w:eastAsia="zh-CN"/>
        </w:rPr>
      </w:pPr>
      <w:r>
        <w:rPr>
          <w:rFonts w:hint="eastAsia" w:ascii="宋体" w:hAnsi="宋体" w:cs="宋体"/>
          <w:b/>
          <w:bCs/>
          <w:color w:val="auto"/>
          <w:szCs w:val="21"/>
        </w:rPr>
        <w:t>2、供应商特定资格条件：</w:t>
      </w:r>
      <w:r>
        <w:rPr>
          <w:rFonts w:hint="eastAsia" w:ascii="宋体" w:hAnsi="宋体" w:cs="宋体"/>
          <w:b/>
          <w:bCs/>
          <w:color w:val="auto"/>
          <w:szCs w:val="21"/>
          <w:lang w:val="en-US" w:eastAsia="zh-CN"/>
        </w:rPr>
        <w:t>无</w:t>
      </w:r>
    </w:p>
    <w:p>
      <w:pPr>
        <w:spacing w:line="360" w:lineRule="auto"/>
        <w:ind w:firstLine="422" w:firstLineChars="200"/>
        <w:jc w:val="left"/>
        <w:rPr>
          <w:rFonts w:hint="eastAsia" w:ascii="宋体" w:hAnsi="宋体" w:cs="宋体"/>
          <w:b/>
          <w:bCs/>
          <w:color w:val="auto"/>
          <w:szCs w:val="21"/>
          <w:shd w:val="clear" w:color="auto" w:fill="FFFFFF"/>
        </w:rPr>
      </w:pPr>
      <w:r>
        <w:rPr>
          <w:rFonts w:hint="eastAsia" w:ascii="宋体" w:hAnsi="宋体" w:cs="宋体"/>
          <w:b/>
          <w:bCs/>
          <w:color w:val="auto"/>
          <w:szCs w:val="21"/>
          <w:shd w:val="clear" w:color="auto" w:fill="FFFFFF"/>
        </w:rPr>
        <w:t>三、磋商文件的发售及获取：</w:t>
      </w:r>
    </w:p>
    <w:p>
      <w:pPr>
        <w:spacing w:line="360" w:lineRule="auto"/>
        <w:ind w:firstLine="422" w:firstLineChars="200"/>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1、</w:t>
      </w:r>
      <w:r>
        <w:rPr>
          <w:rFonts w:hint="eastAsia" w:ascii="宋体" w:hAnsi="宋体" w:eastAsia="宋体" w:cs="宋体"/>
          <w:color w:val="auto"/>
          <w:kern w:val="0"/>
          <w:szCs w:val="21"/>
        </w:rPr>
        <w:t>凡有意参加</w:t>
      </w:r>
      <w:r>
        <w:rPr>
          <w:rFonts w:hint="eastAsia" w:ascii="宋体" w:hAnsi="宋体" w:cs="宋体"/>
          <w:color w:val="auto"/>
          <w:kern w:val="0"/>
          <w:szCs w:val="21"/>
          <w:lang w:eastAsia="zh-CN"/>
        </w:rPr>
        <w:t>竞争性磋商</w:t>
      </w:r>
      <w:r>
        <w:rPr>
          <w:rFonts w:hint="eastAsia" w:ascii="宋体" w:hAnsi="宋体" w:eastAsia="宋体" w:cs="宋体"/>
          <w:color w:val="auto"/>
          <w:kern w:val="0"/>
          <w:szCs w:val="21"/>
        </w:rPr>
        <w:t>活动的，请即日起</w:t>
      </w:r>
      <w:r>
        <w:rPr>
          <w:rFonts w:hint="eastAsia" w:ascii="宋体" w:hAnsi="宋体" w:eastAsia="宋体" w:cs="宋体"/>
          <w:color w:val="auto"/>
          <w:kern w:val="0"/>
          <w:szCs w:val="21"/>
          <w:lang w:val="en-US" w:eastAsia="zh-CN"/>
        </w:rPr>
        <w:t>2024年</w:t>
      </w:r>
      <w:r>
        <w:rPr>
          <w:rFonts w:hint="eastAsia" w:ascii="宋体" w:hAnsi="宋体" w:cs="宋体"/>
          <w:color w:val="auto"/>
          <w:kern w:val="0"/>
          <w:szCs w:val="21"/>
          <w:lang w:val="en-US" w:eastAsia="zh-CN"/>
        </w:rPr>
        <w:t>4</w:t>
      </w:r>
      <w:r>
        <w:rPr>
          <w:rFonts w:hint="eastAsia" w:ascii="宋体" w:hAnsi="宋体" w:eastAsia="宋体" w:cs="宋体"/>
          <w:color w:val="auto"/>
          <w:kern w:val="0"/>
          <w:szCs w:val="21"/>
          <w:lang w:val="en-US" w:eastAsia="zh-CN"/>
        </w:rPr>
        <w:t>月</w:t>
      </w:r>
      <w:r>
        <w:rPr>
          <w:rFonts w:hint="eastAsia" w:ascii="宋体" w:hAnsi="宋体" w:cs="宋体"/>
          <w:color w:val="auto"/>
          <w:kern w:val="0"/>
          <w:szCs w:val="21"/>
          <w:lang w:val="en-US" w:eastAsia="zh-CN"/>
        </w:rPr>
        <w:t>27</w:t>
      </w:r>
      <w:r>
        <w:rPr>
          <w:rFonts w:hint="eastAsia" w:ascii="宋体" w:hAnsi="宋体" w:eastAsia="宋体" w:cs="宋体"/>
          <w:color w:val="auto"/>
          <w:kern w:val="0"/>
          <w:szCs w:val="21"/>
          <w:lang w:val="en-US" w:eastAsia="zh-CN"/>
        </w:rPr>
        <w:t>日至2024年</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lang w:val="en-US" w:eastAsia="zh-CN"/>
        </w:rPr>
        <w:t>月</w:t>
      </w:r>
      <w:r>
        <w:rPr>
          <w:rFonts w:hint="eastAsia" w:ascii="宋体" w:hAnsi="宋体" w:cs="宋体"/>
          <w:color w:val="auto"/>
          <w:kern w:val="0"/>
          <w:szCs w:val="21"/>
          <w:lang w:val="en-US" w:eastAsia="zh-CN"/>
        </w:rPr>
        <w:t>1</w:t>
      </w:r>
      <w:r>
        <w:rPr>
          <w:rFonts w:hint="eastAsia" w:ascii="宋体" w:hAnsi="宋体" w:eastAsia="宋体" w:cs="宋体"/>
          <w:color w:val="auto"/>
          <w:kern w:val="0"/>
          <w:szCs w:val="21"/>
          <w:lang w:val="en-US" w:eastAsia="zh-CN"/>
        </w:rPr>
        <w:t>日</w:t>
      </w:r>
      <w:r>
        <w:rPr>
          <w:rFonts w:hint="eastAsia" w:ascii="宋体" w:hAnsi="宋体" w:cs="宋体"/>
          <w:color w:val="auto"/>
          <w:kern w:val="0"/>
          <w:szCs w:val="21"/>
          <w:lang w:val="en-US" w:eastAsia="zh-CN"/>
        </w:rPr>
        <w:t>17时30分</w:t>
      </w:r>
      <w:r>
        <w:rPr>
          <w:rFonts w:hint="eastAsia" w:ascii="宋体" w:hAnsi="宋体" w:eastAsia="宋体" w:cs="宋体"/>
          <w:color w:val="auto"/>
          <w:kern w:val="0"/>
          <w:szCs w:val="21"/>
          <w:lang w:val="en-US" w:eastAsia="zh-CN"/>
        </w:rPr>
        <w:t>到</w:t>
      </w:r>
      <w:r>
        <w:rPr>
          <w:rStyle w:val="22"/>
          <w:rFonts w:hint="eastAsia" w:ascii="宋体" w:hAnsi="宋体" w:cs="宋体"/>
          <w:b w:val="0"/>
          <w:bCs w:val="0"/>
          <w:color w:val="auto"/>
          <w:highlight w:val="none"/>
          <w:u w:val="none"/>
          <w:shd w:val="clear" w:color="auto" w:fill="FFFFFF"/>
          <w:lang w:eastAsia="zh-CN"/>
        </w:rPr>
        <w:t>娄底职业技术学院官网http://www.ldzy.com</w:t>
      </w:r>
      <w:r>
        <w:rPr>
          <w:rFonts w:hint="eastAsia" w:ascii="宋体" w:hAnsi="宋体" w:cs="宋体"/>
          <w:color w:val="auto"/>
          <w:kern w:val="0"/>
          <w:szCs w:val="21"/>
          <w:lang w:val="en-US" w:eastAsia="zh-CN"/>
        </w:rPr>
        <w:t>获取</w:t>
      </w:r>
      <w:r>
        <w:rPr>
          <w:rFonts w:hint="eastAsia" w:ascii="宋体" w:hAnsi="宋体" w:eastAsia="宋体" w:cs="宋体"/>
          <w:color w:val="auto"/>
          <w:kern w:val="0"/>
          <w:szCs w:val="21"/>
        </w:rPr>
        <w:t>磋商文件</w:t>
      </w:r>
      <w:r>
        <w:rPr>
          <w:rFonts w:hint="eastAsia" w:ascii="宋体" w:hAnsi="宋体" w:cs="宋体"/>
          <w:color w:val="auto"/>
          <w:kern w:val="0"/>
          <w:szCs w:val="21"/>
          <w:lang w:val="en-US" w:eastAsia="zh-CN"/>
        </w:rPr>
        <w:t>并发送回执到电子邮箱70116767@qq.com（报名时间以回执收到时间为准）</w:t>
      </w:r>
    </w:p>
    <w:p>
      <w:pPr>
        <w:spacing w:line="360" w:lineRule="auto"/>
        <w:ind w:firstLine="422" w:firstLineChars="200"/>
        <w:jc w:val="left"/>
        <w:rPr>
          <w:rFonts w:hint="eastAsia" w:ascii="宋体" w:hAnsi="宋体" w:cs="宋体"/>
          <w:color w:val="auto"/>
          <w:kern w:val="0"/>
          <w:szCs w:val="21"/>
          <w:lang w:eastAsia="zh-CN"/>
        </w:rPr>
      </w:pPr>
      <w:r>
        <w:rPr>
          <w:rFonts w:hint="eastAsia" w:ascii="宋体" w:hAnsi="宋体" w:cs="宋体"/>
          <w:color w:val="auto"/>
          <w:kern w:val="0"/>
          <w:szCs w:val="21"/>
          <w:lang w:val="en-US" w:eastAsia="zh-CN"/>
        </w:rPr>
        <w:t>3.2、报名回执应包括：确认参加投标回执、法人授权委托书、公司营业执照副本（扫描件加盖公章，报名回执资料请按要求填写提交否则将视为报名失败）。</w:t>
      </w:r>
    </w:p>
    <w:p>
      <w:pPr>
        <w:widowControl/>
        <w:spacing w:line="360" w:lineRule="auto"/>
        <w:jc w:val="left"/>
        <w:rPr>
          <w:rFonts w:hint="eastAsia" w:ascii="宋体" w:hAnsi="宋体" w:cs="宋体"/>
          <w:color w:val="auto"/>
          <w:kern w:val="0"/>
          <w:szCs w:val="21"/>
        </w:rPr>
      </w:pPr>
      <w:r>
        <w:rPr>
          <w:rFonts w:hint="eastAsia" w:ascii="宋体" w:hAnsi="宋体" w:cs="宋体"/>
          <w:b/>
          <w:bCs/>
          <w:color w:val="auto"/>
          <w:kern w:val="0"/>
          <w:szCs w:val="21"/>
        </w:rPr>
        <w:t>四、递交响应文件的截止时间和地点：</w:t>
      </w:r>
    </w:p>
    <w:p>
      <w:pPr>
        <w:keepNext w:val="0"/>
        <w:keepLines w:val="0"/>
        <w:pageBreakBefore w:val="0"/>
        <w:widowControl/>
        <w:kinsoku/>
        <w:wordWrap/>
        <w:overflowPunct/>
        <w:topLinePunct w:val="0"/>
        <w:autoSpaceDE/>
        <w:autoSpaceDN/>
        <w:bidi w:val="0"/>
        <w:spacing w:line="420" w:lineRule="exact"/>
        <w:ind w:firstLine="422" w:firstLineChars="200"/>
        <w:jc w:val="left"/>
        <w:textAlignment w:val="auto"/>
        <w:rPr>
          <w:rFonts w:hint="eastAsia" w:ascii="宋体" w:hAnsi="宋体"/>
          <w:color w:val="auto"/>
          <w:szCs w:val="21"/>
          <w:lang w:val="en-US" w:eastAsia="zh-CN"/>
        </w:rPr>
      </w:pPr>
      <w:r>
        <w:rPr>
          <w:rFonts w:hint="eastAsia" w:ascii="宋体" w:hAnsi="宋体" w:cs="宋体"/>
          <w:color w:val="auto"/>
          <w:szCs w:val="21"/>
          <w:lang w:val="en-US" w:eastAsia="zh-CN"/>
        </w:rPr>
        <w:t>4.1</w:t>
      </w:r>
      <w:r>
        <w:rPr>
          <w:rFonts w:hint="eastAsia" w:ascii="宋体" w:hAnsi="宋体" w:cs="宋体"/>
          <w:color w:val="auto"/>
          <w:szCs w:val="21"/>
        </w:rPr>
        <w:t>、</w:t>
      </w:r>
      <w:r>
        <w:rPr>
          <w:rFonts w:hint="eastAsia" w:ascii="宋体" w:hAnsi="宋体"/>
          <w:color w:val="auto"/>
          <w:szCs w:val="21"/>
        </w:rPr>
        <w:t>提交响应文件的截止时间为</w:t>
      </w:r>
      <w:r>
        <w:rPr>
          <w:rFonts w:hint="eastAsia" w:ascii="宋体" w:hAnsi="宋体"/>
          <w:color w:val="auto"/>
          <w:szCs w:val="21"/>
          <w:u w:val="single"/>
        </w:rPr>
        <w:t>202</w:t>
      </w:r>
      <w:r>
        <w:rPr>
          <w:rFonts w:hint="eastAsia" w:ascii="宋体" w:hAnsi="宋体"/>
          <w:color w:val="auto"/>
          <w:szCs w:val="21"/>
          <w:u w:val="single"/>
          <w:lang w:val="en-US" w:eastAsia="zh-CN"/>
        </w:rPr>
        <w:t>4</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u w:val="single"/>
          <w:lang w:val="en-US" w:eastAsia="zh-CN"/>
        </w:rPr>
        <w:t>7</w:t>
      </w:r>
      <w:r>
        <w:rPr>
          <w:rFonts w:hint="eastAsia" w:ascii="宋体" w:hAnsi="宋体"/>
          <w:color w:val="auto"/>
          <w:szCs w:val="21"/>
        </w:rPr>
        <w:t>日</w:t>
      </w:r>
      <w:r>
        <w:rPr>
          <w:rFonts w:hint="eastAsia" w:ascii="宋体" w:hAnsi="宋体"/>
          <w:color w:val="auto"/>
          <w:szCs w:val="21"/>
          <w:u w:val="single"/>
          <w:lang w:val="en-US" w:eastAsia="zh-CN"/>
        </w:rPr>
        <w:t>10</w:t>
      </w:r>
      <w:r>
        <w:rPr>
          <w:rFonts w:hint="eastAsia" w:ascii="宋体" w:hAnsi="宋体"/>
          <w:color w:val="auto"/>
          <w:szCs w:val="21"/>
        </w:rPr>
        <w:t>时00分</w:t>
      </w:r>
      <w:r>
        <w:rPr>
          <w:rFonts w:hint="eastAsia" w:ascii="宋体" w:hAnsi="宋体"/>
          <w:color w:val="auto"/>
          <w:szCs w:val="21"/>
        </w:rPr>
        <w:t>(北京时间)，</w:t>
      </w:r>
      <w:r>
        <w:rPr>
          <w:rFonts w:hint="eastAsia" w:ascii="宋体" w:hAnsi="宋体"/>
          <w:color w:val="auto"/>
          <w:szCs w:val="21"/>
          <w:lang w:val="en-US" w:eastAsia="zh-CN"/>
        </w:rPr>
        <w:t>地点为娄星区大科街道勤政小区11栋3单元702东霖工程管理有限公司。</w:t>
      </w:r>
    </w:p>
    <w:p>
      <w:pPr>
        <w:keepNext w:val="0"/>
        <w:keepLines w:val="0"/>
        <w:pageBreakBefore w:val="0"/>
        <w:widowControl/>
        <w:kinsoku/>
        <w:wordWrap/>
        <w:overflowPunct/>
        <w:topLinePunct w:val="0"/>
        <w:autoSpaceDE/>
        <w:autoSpaceDN/>
        <w:bidi w:val="0"/>
        <w:spacing w:line="420" w:lineRule="exact"/>
        <w:ind w:firstLine="422" w:firstLineChars="200"/>
        <w:jc w:val="left"/>
        <w:textAlignment w:val="auto"/>
        <w:rPr>
          <w:rFonts w:hint="eastAsia" w:ascii="宋体" w:hAnsi="宋体" w:cs="宋体"/>
          <w:color w:val="auto"/>
          <w:szCs w:val="21"/>
        </w:rPr>
      </w:pPr>
      <w:r>
        <w:rPr>
          <w:rFonts w:hint="eastAsia" w:ascii="宋体" w:hAnsi="宋体"/>
          <w:color w:val="auto"/>
          <w:szCs w:val="21"/>
        </w:rPr>
        <w:t>响应文件的开启时间及地点与提交响应文件的截止时间及地点为同一时间及地点。逾期送达或者不按</w:t>
      </w:r>
      <w:r>
        <w:rPr>
          <w:rFonts w:hint="eastAsia" w:ascii="宋体" w:hAnsi="宋体"/>
          <w:color w:val="auto"/>
          <w:szCs w:val="21"/>
          <w:lang w:val="en-US" w:eastAsia="zh-CN"/>
        </w:rPr>
        <w:t>磋商文件</w:t>
      </w:r>
      <w:r>
        <w:rPr>
          <w:rFonts w:hint="eastAsia" w:ascii="宋体" w:hAnsi="宋体"/>
          <w:color w:val="auto"/>
          <w:szCs w:val="21"/>
        </w:rPr>
        <w:t>要求密封，采购人或采购代理机构将拒绝接收。</w:t>
      </w:r>
    </w:p>
    <w:p>
      <w:pPr>
        <w:widowControl/>
        <w:spacing w:line="360" w:lineRule="auto"/>
        <w:ind w:firstLine="422" w:firstLineChars="200"/>
        <w:jc w:val="left"/>
        <w:rPr>
          <w:rFonts w:hint="eastAsia" w:ascii="宋体" w:hAnsi="宋体" w:cs="宋体"/>
          <w:color w:val="auto"/>
          <w:kern w:val="0"/>
          <w:szCs w:val="21"/>
        </w:rPr>
      </w:pPr>
      <w:r>
        <w:rPr>
          <w:rFonts w:hint="eastAsia" w:ascii="宋体" w:hAnsi="宋体" w:cs="宋体"/>
          <w:color w:val="auto"/>
          <w:kern w:val="0"/>
          <w:szCs w:val="21"/>
        </w:rPr>
        <w:t>4.</w:t>
      </w:r>
      <w:r>
        <w:rPr>
          <w:rFonts w:hint="eastAsia" w:ascii="宋体" w:hAnsi="宋体" w:cs="宋体"/>
          <w:color w:val="auto"/>
          <w:kern w:val="0"/>
          <w:szCs w:val="21"/>
          <w:lang w:val="en-US" w:eastAsia="zh-CN"/>
        </w:rPr>
        <w:t>2</w:t>
      </w:r>
      <w:r>
        <w:rPr>
          <w:rFonts w:hint="eastAsia"/>
          <w:b/>
          <w:bCs/>
          <w:color w:val="auto"/>
        </w:rPr>
        <w:t>届时请投标单位的法定代表人或委托代理人持</w:t>
      </w:r>
      <w:r>
        <w:rPr>
          <w:rFonts w:hint="eastAsia" w:ascii="宋体" w:hAnsi="宋体"/>
          <w:b/>
          <w:bCs/>
          <w:color w:val="auto"/>
          <w:szCs w:val="21"/>
        </w:rPr>
        <w:t>法人代表身份证明原件或授权委托书原件及</w:t>
      </w:r>
      <w:r>
        <w:rPr>
          <w:rFonts w:hint="eastAsia"/>
          <w:b/>
          <w:bCs/>
          <w:color w:val="auto"/>
        </w:rPr>
        <w:t>本人身份证原件出席开标会议并签名；否则，其投标将被拒绝</w:t>
      </w:r>
      <w:r>
        <w:rPr>
          <w:rFonts w:hint="eastAsia" w:ascii="宋体" w:hAnsi="宋体"/>
          <w:b/>
          <w:color w:val="auto"/>
          <w:szCs w:val="21"/>
        </w:rPr>
        <w:t>。</w:t>
      </w:r>
    </w:p>
    <w:p>
      <w:pPr>
        <w:widowControl/>
        <w:spacing w:line="360" w:lineRule="auto"/>
        <w:ind w:firstLine="422" w:firstLineChars="200"/>
        <w:jc w:val="left"/>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rPr>
        <w:t>五、投标保证金</w:t>
      </w:r>
      <w:r>
        <w:rPr>
          <w:rFonts w:hint="eastAsia" w:ascii="宋体" w:hAnsi="宋体" w:cs="宋体"/>
          <w:b/>
          <w:bCs/>
          <w:color w:val="auto"/>
          <w:kern w:val="0"/>
          <w:szCs w:val="21"/>
          <w:lang w:eastAsia="zh-CN"/>
        </w:rPr>
        <w:t>；</w:t>
      </w:r>
      <w:r>
        <w:rPr>
          <w:rFonts w:hint="eastAsia" w:ascii="宋体" w:hAnsi="宋体" w:cs="宋体"/>
          <w:b/>
          <w:bCs/>
          <w:color w:val="auto"/>
          <w:kern w:val="0"/>
          <w:szCs w:val="21"/>
          <w:lang w:val="en-US" w:eastAsia="zh-CN"/>
        </w:rPr>
        <w:t>不需要提供。</w:t>
      </w:r>
    </w:p>
    <w:p>
      <w:pPr>
        <w:spacing w:line="360" w:lineRule="auto"/>
        <w:ind w:firstLine="422" w:firstLineChars="200"/>
        <w:jc w:val="left"/>
        <w:rPr>
          <w:rFonts w:hint="eastAsia" w:ascii="宋体" w:hAnsi="宋体" w:cs="宋体"/>
          <w:b/>
          <w:bCs/>
          <w:color w:val="auto"/>
          <w:szCs w:val="21"/>
        </w:rPr>
      </w:pPr>
      <w:r>
        <w:rPr>
          <w:rFonts w:hint="eastAsia" w:ascii="宋体" w:hAnsi="宋体" w:cs="宋体"/>
          <w:b/>
          <w:bCs/>
          <w:color w:val="auto"/>
          <w:szCs w:val="21"/>
        </w:rPr>
        <w:t>六、发布公告的媒介：</w:t>
      </w:r>
    </w:p>
    <w:p>
      <w:pPr>
        <w:spacing w:line="360" w:lineRule="auto"/>
        <w:ind w:firstLine="422" w:firstLineChars="200"/>
        <w:jc w:val="left"/>
        <w:rPr>
          <w:rStyle w:val="22"/>
          <w:rFonts w:hint="eastAsia" w:ascii="宋体" w:hAnsi="宋体" w:cs="宋体"/>
          <w:b w:val="0"/>
          <w:bCs w:val="0"/>
          <w:color w:val="auto"/>
          <w:highlight w:val="none"/>
          <w:u w:val="none"/>
          <w:shd w:val="clear" w:color="auto" w:fill="FFFFFF"/>
          <w:lang w:eastAsia="zh-CN"/>
        </w:rPr>
      </w:pPr>
      <w:r>
        <w:rPr>
          <w:rStyle w:val="22"/>
          <w:rFonts w:hint="eastAsia" w:ascii="宋体" w:hAnsi="宋体" w:cs="宋体"/>
          <w:b w:val="0"/>
          <w:bCs w:val="0"/>
          <w:color w:val="auto"/>
          <w:highlight w:val="none"/>
          <w:u w:val="none"/>
          <w:shd w:val="clear" w:color="auto" w:fill="FFFFFF"/>
          <w:lang w:eastAsia="zh-CN"/>
        </w:rPr>
        <w:t>娄底职业技术学院官网http://www.ldzy.com</w:t>
      </w:r>
    </w:p>
    <w:p>
      <w:pPr>
        <w:spacing w:line="360" w:lineRule="auto"/>
        <w:ind w:firstLine="422" w:firstLineChars="200"/>
        <w:jc w:val="left"/>
        <w:rPr>
          <w:rFonts w:hint="eastAsia" w:ascii="宋体"/>
          <w:color w:val="auto"/>
          <w:szCs w:val="22"/>
        </w:rPr>
      </w:pPr>
      <w:r>
        <w:rPr>
          <w:rFonts w:hint="eastAsia" w:ascii="宋体" w:hAnsi="宋体" w:cs="宋体"/>
          <w:b/>
          <w:color w:val="auto"/>
          <w:kern w:val="1"/>
          <w:szCs w:val="21"/>
        </w:rPr>
        <w:t>七、公告期限：</w:t>
      </w:r>
      <w:r>
        <w:rPr>
          <w:rFonts w:hint="eastAsia" w:ascii="宋体"/>
          <w:color w:val="auto"/>
          <w:szCs w:val="22"/>
        </w:rPr>
        <w:t>公告期限从本公告发布之日起</w:t>
      </w:r>
      <w:r>
        <w:rPr>
          <w:rFonts w:hint="eastAsia" w:ascii="宋体"/>
          <w:color w:val="auto"/>
          <w:szCs w:val="22"/>
          <w:lang w:val="en-US" w:eastAsia="zh-CN"/>
        </w:rPr>
        <w:t>3</w:t>
      </w:r>
      <w:r>
        <w:rPr>
          <w:rFonts w:hint="eastAsia" w:ascii="宋体"/>
          <w:color w:val="auto"/>
          <w:szCs w:val="22"/>
        </w:rPr>
        <w:t>个工作日。</w:t>
      </w:r>
    </w:p>
    <w:p>
      <w:pPr>
        <w:spacing w:line="360" w:lineRule="auto"/>
        <w:ind w:firstLine="422" w:firstLineChars="200"/>
        <w:jc w:val="left"/>
        <w:rPr>
          <w:rFonts w:hint="eastAsia" w:ascii="宋体" w:hAnsi="宋体" w:cs="宋体"/>
          <w:b/>
          <w:bCs/>
          <w:color w:val="auto"/>
          <w:szCs w:val="21"/>
        </w:rPr>
      </w:pPr>
      <w:r>
        <w:rPr>
          <w:rFonts w:hint="eastAsia" w:ascii="宋体" w:hAnsi="宋体" w:cs="宋体"/>
          <w:b/>
          <w:bCs/>
          <w:color w:val="auto"/>
          <w:szCs w:val="21"/>
        </w:rPr>
        <w:t>八、疑问及质疑</w:t>
      </w:r>
    </w:p>
    <w:p>
      <w:pPr>
        <w:spacing w:line="360" w:lineRule="auto"/>
        <w:ind w:firstLine="422" w:firstLineChars="200"/>
        <w:jc w:val="left"/>
        <w:rPr>
          <w:rFonts w:hint="eastAsia" w:ascii="宋体" w:hAnsi="宋体" w:cs="宋体"/>
          <w:color w:val="auto"/>
          <w:kern w:val="0"/>
          <w:szCs w:val="21"/>
        </w:rPr>
      </w:pPr>
      <w:r>
        <w:rPr>
          <w:rFonts w:hint="eastAsia" w:ascii="宋体" w:hAnsi="宋体" w:cs="宋体"/>
          <w:color w:val="auto"/>
          <w:kern w:val="0"/>
          <w:szCs w:val="21"/>
        </w:rPr>
        <w:t>1、潜在投标人对采购活动事项如有疑问的，可以向采购人或采购代理机构提出询问。采购人或采购代理机构将在3个工作日内作出答复。</w:t>
      </w:r>
    </w:p>
    <w:p>
      <w:pPr>
        <w:spacing w:line="360" w:lineRule="auto"/>
        <w:ind w:firstLine="422" w:firstLineChars="200"/>
        <w:jc w:val="left"/>
        <w:rPr>
          <w:rFonts w:hint="eastAsia" w:ascii="宋体" w:hAnsi="宋体" w:cs="宋体"/>
          <w:color w:val="auto"/>
          <w:kern w:val="0"/>
          <w:szCs w:val="21"/>
        </w:rPr>
      </w:pPr>
      <w:r>
        <w:rPr>
          <w:rFonts w:hint="eastAsia" w:ascii="宋体" w:hAnsi="宋体" w:cs="宋体"/>
          <w:color w:val="auto"/>
          <w:kern w:val="0"/>
          <w:szCs w:val="21"/>
        </w:rPr>
        <w:t>2、对采购文件提出质疑的，应当在获取采购文件或者在采购文件公告期限届满之日起7个工作日内以书面形式向采购人、代理机构提出。</w:t>
      </w:r>
    </w:p>
    <w:p>
      <w:pPr>
        <w:pStyle w:val="18"/>
        <w:ind w:left="0" w:leftChars="0" w:firstLine="0" w:firstLineChars="0"/>
        <w:rPr>
          <w:rFonts w:hint="default" w:eastAsia="宋体"/>
          <w:color w:val="auto"/>
          <w:lang w:val="en-US" w:eastAsia="zh-CN"/>
        </w:rPr>
      </w:pPr>
      <w:r>
        <w:rPr>
          <w:rFonts w:hint="eastAsia" w:ascii="宋体" w:hAnsi="宋体" w:cs="宋体"/>
          <w:color w:val="auto"/>
          <w:kern w:val="0"/>
          <w:szCs w:val="21"/>
          <w:lang w:val="en-US" w:eastAsia="zh-CN"/>
        </w:rPr>
        <w:t xml:space="preserve">    九、监督人：</w:t>
      </w:r>
      <w:r>
        <w:rPr>
          <w:rFonts w:hint="eastAsia"/>
          <w:color w:val="auto"/>
          <w:lang w:val="en-US" w:eastAsia="zh-CN"/>
        </w:rPr>
        <w:t>江先生：电话13873819118</w:t>
      </w:r>
    </w:p>
    <w:p>
      <w:pPr>
        <w:spacing w:line="360" w:lineRule="auto"/>
        <w:ind w:firstLine="422" w:firstLineChars="200"/>
        <w:jc w:val="left"/>
        <w:rPr>
          <w:rFonts w:hint="eastAsia" w:ascii="宋体" w:hAnsi="宋体" w:cs="宋体"/>
          <w:color w:val="auto"/>
          <w:szCs w:val="21"/>
        </w:rPr>
      </w:pPr>
      <w:r>
        <w:rPr>
          <w:rFonts w:hint="eastAsia" w:ascii="宋体" w:hAnsi="宋体" w:cs="宋体"/>
          <w:b/>
          <w:bCs/>
          <w:color w:val="auto"/>
          <w:szCs w:val="21"/>
          <w:lang w:val="en-US" w:eastAsia="zh-CN"/>
        </w:rPr>
        <w:t>十</w:t>
      </w:r>
      <w:r>
        <w:rPr>
          <w:rFonts w:hint="eastAsia" w:ascii="宋体" w:hAnsi="宋体" w:cs="宋体"/>
          <w:b/>
          <w:bCs/>
          <w:color w:val="auto"/>
          <w:szCs w:val="21"/>
        </w:rPr>
        <w:t>、采购项目联系（质疑）人姓名和电话</w:t>
      </w:r>
    </w:p>
    <w:p>
      <w:pPr>
        <w:widowControl/>
        <w:spacing w:line="360" w:lineRule="auto"/>
        <w:ind w:firstLine="633" w:firstLineChars="300"/>
        <w:jc w:val="left"/>
        <w:rPr>
          <w:rFonts w:hint="eastAsia"/>
          <w:color w:val="auto"/>
          <w:lang w:eastAsia="zh-CN"/>
        </w:rPr>
      </w:pPr>
      <w:r>
        <w:rPr>
          <w:rFonts w:hint="eastAsia"/>
          <w:color w:val="auto"/>
          <w:lang w:val="en-US" w:eastAsia="zh-CN"/>
        </w:rPr>
        <w:t>采购</w:t>
      </w:r>
      <w:r>
        <w:rPr>
          <w:rFonts w:hint="eastAsia"/>
          <w:color w:val="auto"/>
        </w:rPr>
        <w:t>人：</w:t>
      </w:r>
      <w:r>
        <w:rPr>
          <w:rFonts w:hint="eastAsia"/>
          <w:color w:val="auto"/>
          <w:lang w:val="en-US" w:eastAsia="zh-CN"/>
        </w:rPr>
        <w:t xml:space="preserve"> 娄底职业技术学院</w:t>
      </w:r>
    </w:p>
    <w:p>
      <w:pPr>
        <w:widowControl/>
        <w:spacing w:line="360" w:lineRule="auto"/>
        <w:ind w:firstLine="633" w:firstLineChars="300"/>
        <w:jc w:val="left"/>
        <w:rPr>
          <w:rFonts w:hint="default"/>
          <w:color w:val="auto"/>
          <w:lang w:val="en-US" w:eastAsia="zh-CN"/>
        </w:rPr>
      </w:pPr>
      <w:r>
        <w:rPr>
          <w:rFonts w:hint="eastAsia"/>
          <w:color w:val="auto"/>
          <w:lang w:val="en-US" w:eastAsia="zh-CN"/>
        </w:rPr>
        <w:t>联系人</w:t>
      </w:r>
      <w:r>
        <w:rPr>
          <w:rFonts w:hint="eastAsia"/>
          <w:color w:val="auto"/>
        </w:rPr>
        <w:t>：李老师</w:t>
      </w:r>
    </w:p>
    <w:p>
      <w:pPr>
        <w:widowControl/>
        <w:spacing w:line="360" w:lineRule="auto"/>
        <w:ind w:firstLine="633" w:firstLineChars="300"/>
        <w:jc w:val="left"/>
        <w:rPr>
          <w:rFonts w:hint="eastAsia"/>
          <w:color w:val="auto"/>
        </w:rPr>
      </w:pPr>
      <w:r>
        <w:rPr>
          <w:rFonts w:hint="eastAsia"/>
          <w:color w:val="auto"/>
          <w:lang w:val="en-US" w:eastAsia="zh-CN"/>
        </w:rPr>
        <w:t>电  话</w:t>
      </w:r>
      <w:r>
        <w:rPr>
          <w:rFonts w:hint="eastAsia"/>
          <w:color w:val="auto"/>
        </w:rPr>
        <w:t>：</w:t>
      </w:r>
      <w:r>
        <w:rPr>
          <w:rFonts w:hint="eastAsia"/>
          <w:color w:val="auto"/>
          <w:lang w:val="en-US" w:eastAsia="zh-CN"/>
        </w:rPr>
        <w:t>15080803379</w:t>
      </w:r>
    </w:p>
    <w:p>
      <w:pPr>
        <w:pStyle w:val="11"/>
        <w:keepNext w:val="0"/>
        <w:keepLines w:val="0"/>
        <w:pageBreakBefore w:val="0"/>
        <w:widowControl w:val="0"/>
        <w:kinsoku/>
        <w:wordWrap/>
        <w:overflowPunct/>
        <w:topLinePunct w:val="0"/>
        <w:autoSpaceDE/>
        <w:autoSpaceDN/>
        <w:bidi w:val="0"/>
        <w:adjustRightInd/>
        <w:snapToGrid/>
        <w:spacing w:line="360" w:lineRule="auto"/>
        <w:ind w:firstLine="633" w:firstLineChars="300"/>
        <w:jc w:val="left"/>
        <w:textAlignment w:val="auto"/>
        <w:rPr>
          <w:rFonts w:hint="eastAsia"/>
          <w:color w:val="auto"/>
          <w:lang w:val="en-US" w:eastAsia="zh-CN"/>
        </w:rPr>
      </w:pPr>
      <w:r>
        <w:rPr>
          <w:rFonts w:hint="eastAsia"/>
          <w:color w:val="auto"/>
          <w:lang w:val="en-US" w:eastAsia="zh-CN"/>
        </w:rPr>
        <w:t xml:space="preserve">采购代理机构：东霖工程管理有限公司  </w:t>
      </w:r>
    </w:p>
    <w:p>
      <w:pPr>
        <w:pStyle w:val="11"/>
        <w:keepNext w:val="0"/>
        <w:keepLines w:val="0"/>
        <w:pageBreakBefore w:val="0"/>
        <w:widowControl w:val="0"/>
        <w:kinsoku/>
        <w:wordWrap/>
        <w:overflowPunct/>
        <w:topLinePunct w:val="0"/>
        <w:autoSpaceDE/>
        <w:autoSpaceDN/>
        <w:bidi w:val="0"/>
        <w:adjustRightInd/>
        <w:snapToGrid/>
        <w:spacing w:line="360" w:lineRule="auto"/>
        <w:ind w:firstLine="633" w:firstLineChars="300"/>
        <w:jc w:val="left"/>
        <w:textAlignment w:val="auto"/>
        <w:rPr>
          <w:rFonts w:hint="eastAsia"/>
          <w:color w:val="auto"/>
          <w:lang w:val="en-US" w:eastAsia="zh-CN"/>
        </w:rPr>
      </w:pPr>
      <w:r>
        <w:rPr>
          <w:rFonts w:hint="eastAsia"/>
          <w:color w:val="auto"/>
          <w:lang w:val="en-US" w:eastAsia="zh-CN"/>
        </w:rPr>
        <w:t>联系人：梁先生</w:t>
      </w:r>
    </w:p>
    <w:p>
      <w:pPr>
        <w:pStyle w:val="11"/>
        <w:keepNext w:val="0"/>
        <w:keepLines w:val="0"/>
        <w:pageBreakBefore w:val="0"/>
        <w:widowControl w:val="0"/>
        <w:kinsoku/>
        <w:wordWrap/>
        <w:overflowPunct/>
        <w:topLinePunct w:val="0"/>
        <w:autoSpaceDE/>
        <w:autoSpaceDN/>
        <w:bidi w:val="0"/>
        <w:adjustRightInd/>
        <w:snapToGrid/>
        <w:spacing w:line="360" w:lineRule="auto"/>
        <w:ind w:firstLine="633" w:firstLineChars="300"/>
        <w:jc w:val="left"/>
        <w:textAlignment w:val="auto"/>
        <w:rPr>
          <w:rFonts w:hint="eastAsia"/>
          <w:color w:val="auto"/>
          <w:lang w:val="en-US" w:eastAsia="zh-CN"/>
        </w:rPr>
      </w:pPr>
      <w:r>
        <w:rPr>
          <w:rFonts w:hint="eastAsia"/>
          <w:color w:val="auto"/>
          <w:lang w:val="en-US" w:eastAsia="zh-CN"/>
        </w:rPr>
        <w:t>电  话：18573859353</w:t>
      </w:r>
    </w:p>
    <w:p>
      <w:pPr>
        <w:pStyle w:val="11"/>
        <w:keepNext w:val="0"/>
        <w:keepLines w:val="0"/>
        <w:pageBreakBefore w:val="0"/>
        <w:widowControl w:val="0"/>
        <w:kinsoku/>
        <w:wordWrap/>
        <w:overflowPunct/>
        <w:topLinePunct w:val="0"/>
        <w:autoSpaceDE/>
        <w:autoSpaceDN/>
        <w:bidi w:val="0"/>
        <w:adjustRightInd/>
        <w:snapToGrid/>
        <w:spacing w:line="360" w:lineRule="auto"/>
        <w:ind w:firstLine="633" w:firstLineChars="300"/>
        <w:jc w:val="left"/>
        <w:textAlignment w:val="auto"/>
        <w:rPr>
          <w:rFonts w:hint="eastAsia"/>
          <w:color w:val="auto"/>
          <w:lang w:val="en-US" w:eastAsia="zh-CN"/>
        </w:rPr>
      </w:pPr>
      <w:r>
        <w:rPr>
          <w:rFonts w:hint="eastAsia"/>
          <w:color w:val="auto"/>
          <w:lang w:val="en-US" w:eastAsia="zh-CN"/>
        </w:rPr>
        <w:t>地  址：娄底市娄星区大科街道勤政小区11栋3单元702</w:t>
      </w:r>
    </w:p>
    <w:p>
      <w:pPr>
        <w:pStyle w:val="11"/>
        <w:jc w:val="left"/>
        <w:rPr>
          <w:rFonts w:hint="eastAsia" w:ascii="黑体" w:eastAsia="黑体"/>
          <w:b/>
          <w:color w:val="auto"/>
          <w:sz w:val="32"/>
          <w:szCs w:val="32"/>
        </w:rPr>
      </w:pPr>
    </w:p>
    <w:p>
      <w:pPr>
        <w:pStyle w:val="11"/>
        <w:jc w:val="left"/>
        <w:rPr>
          <w:rFonts w:hint="eastAsia" w:ascii="黑体" w:eastAsia="黑体"/>
          <w:b/>
          <w:color w:val="auto"/>
          <w:sz w:val="32"/>
          <w:szCs w:val="32"/>
        </w:rPr>
      </w:pPr>
      <w:r>
        <w:rPr>
          <w:rFonts w:hint="eastAsia" w:ascii="黑体" w:eastAsia="黑体"/>
          <w:b/>
          <w:color w:val="auto"/>
          <w:sz w:val="32"/>
          <w:szCs w:val="32"/>
        </w:rPr>
        <w:t>第二章 磋商须知</w:t>
      </w:r>
    </w:p>
    <w:p>
      <w:pPr>
        <w:pStyle w:val="11"/>
        <w:rPr>
          <w:rFonts w:hint="eastAsia" w:ascii="黑体" w:eastAsia="黑体"/>
          <w:b/>
          <w:color w:val="auto"/>
          <w:sz w:val="24"/>
          <w:szCs w:val="24"/>
        </w:rPr>
      </w:pPr>
      <w:r>
        <w:rPr>
          <w:rFonts w:hint="eastAsia" w:ascii="黑体" w:eastAsia="黑体"/>
          <w:b/>
          <w:color w:val="auto"/>
          <w:sz w:val="24"/>
          <w:szCs w:val="24"/>
        </w:rPr>
        <w:t>磋商须知前附表</w:t>
      </w:r>
    </w:p>
    <w:p>
      <w:pPr>
        <w:pStyle w:val="11"/>
        <w:rPr>
          <w:rFonts w:hint="eastAsia" w:ascii="楷体_GB2312" w:hAnsi="宋体" w:eastAsia="楷体_GB2312"/>
          <w:color w:val="auto"/>
        </w:rPr>
      </w:pPr>
      <w:r>
        <w:rPr>
          <w:rFonts w:hint="eastAsia" w:ascii="楷体_GB2312" w:hAnsi="宋体" w:eastAsia="楷体_GB2312"/>
          <w:color w:val="auto"/>
        </w:rPr>
        <w:t>注： 请在方框□内划√选择，在“条款号”内限选一项。（本项目采用的条款用“■”标示）</w:t>
      </w:r>
    </w:p>
    <w:p>
      <w:pPr>
        <w:pStyle w:val="11"/>
        <w:rPr>
          <w:rFonts w:hint="eastAsia" w:ascii="楷体_GB2312" w:hAnsi="宋体" w:eastAsia="楷体_GB2312"/>
          <w:color w:val="auto"/>
        </w:rPr>
      </w:pP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85"/>
        <w:gridCol w:w="1098"/>
        <w:gridCol w:w="70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tblHeader/>
          <w:jc w:val="center"/>
        </w:trPr>
        <w:tc>
          <w:tcPr>
            <w:tcW w:w="785" w:type="dxa"/>
            <w:noWrap w:val="0"/>
            <w:vAlign w:val="center"/>
          </w:tcPr>
          <w:p>
            <w:pPr>
              <w:adjustRightInd w:val="0"/>
              <w:snapToGrid w:val="0"/>
              <w:spacing w:line="360" w:lineRule="auto"/>
              <w:jc w:val="center"/>
              <w:rPr>
                <w:rFonts w:hint="eastAsia" w:ascii="宋体" w:hAnsi="宋体" w:cs="宋体"/>
                <w:b/>
                <w:color w:val="auto"/>
                <w:sz w:val="24"/>
              </w:rPr>
            </w:pPr>
            <w:r>
              <w:rPr>
                <w:rFonts w:hint="eastAsia" w:ascii="宋体" w:hAnsi="宋体" w:cs="宋体"/>
                <w:b/>
                <w:color w:val="auto"/>
                <w:sz w:val="24"/>
              </w:rPr>
              <w:t>条款号</w:t>
            </w:r>
          </w:p>
        </w:tc>
        <w:tc>
          <w:tcPr>
            <w:tcW w:w="1098" w:type="dxa"/>
            <w:noWrap w:val="0"/>
            <w:vAlign w:val="center"/>
          </w:tcPr>
          <w:p>
            <w:pPr>
              <w:adjustRightInd w:val="0"/>
              <w:snapToGrid w:val="0"/>
              <w:spacing w:line="360" w:lineRule="auto"/>
              <w:jc w:val="center"/>
              <w:rPr>
                <w:rFonts w:hint="eastAsia" w:ascii="宋体" w:hAnsi="宋体" w:cs="宋体"/>
                <w:b/>
                <w:color w:val="auto"/>
                <w:sz w:val="24"/>
              </w:rPr>
            </w:pPr>
            <w:r>
              <w:rPr>
                <w:rFonts w:hint="eastAsia" w:ascii="宋体" w:hAnsi="宋体" w:cs="宋体"/>
                <w:b/>
                <w:color w:val="auto"/>
                <w:sz w:val="24"/>
              </w:rPr>
              <w:t>条款名称</w:t>
            </w:r>
          </w:p>
        </w:tc>
        <w:tc>
          <w:tcPr>
            <w:tcW w:w="7065" w:type="dxa"/>
            <w:noWrap w:val="0"/>
            <w:vAlign w:val="center"/>
          </w:tcPr>
          <w:p>
            <w:pPr>
              <w:adjustRightInd w:val="0"/>
              <w:snapToGrid w:val="0"/>
              <w:spacing w:line="360" w:lineRule="auto"/>
              <w:jc w:val="center"/>
              <w:rPr>
                <w:rFonts w:hint="eastAsia" w:ascii="宋体" w:hAnsi="宋体" w:cs="宋体"/>
                <w:b/>
                <w:color w:val="auto"/>
                <w:sz w:val="24"/>
              </w:rPr>
            </w:pPr>
            <w:r>
              <w:rPr>
                <w:rFonts w:hint="eastAsia" w:ascii="宋体" w:hAnsi="宋体" w:cs="宋体"/>
                <w:b/>
                <w:color w:val="auto"/>
                <w:sz w:val="24"/>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blHeader/>
          <w:jc w:val="center"/>
        </w:trPr>
        <w:tc>
          <w:tcPr>
            <w:tcW w:w="8948" w:type="dxa"/>
            <w:gridSpan w:val="3"/>
            <w:noWrap w:val="0"/>
            <w:vAlign w:val="center"/>
          </w:tcPr>
          <w:p>
            <w:pPr>
              <w:adjustRightInd w:val="0"/>
              <w:snapToGrid w:val="0"/>
              <w:spacing w:line="360" w:lineRule="auto"/>
              <w:rPr>
                <w:rFonts w:hint="eastAsia" w:ascii="宋体" w:hAnsi="宋体" w:cs="宋体"/>
                <w:color w:val="auto"/>
                <w:sz w:val="24"/>
              </w:rPr>
            </w:pPr>
            <w:r>
              <w:rPr>
                <w:rFonts w:hint="eastAsia" w:ascii="宋体" w:hAnsi="宋体" w:cs="宋体"/>
                <w:b/>
                <w:color w:val="auto"/>
                <w:sz w:val="24"/>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3" w:hRule="atLeast"/>
          <w:tblHeader/>
          <w:jc w:val="center"/>
        </w:trPr>
        <w:tc>
          <w:tcPr>
            <w:tcW w:w="785" w:type="dxa"/>
            <w:noWrap w:val="0"/>
            <w:vAlign w:val="center"/>
          </w:tcPr>
          <w:p>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第二章第1.1款</w:t>
            </w:r>
          </w:p>
        </w:tc>
        <w:tc>
          <w:tcPr>
            <w:tcW w:w="1098" w:type="dxa"/>
            <w:noWrap w:val="0"/>
            <w:vAlign w:val="center"/>
          </w:tcPr>
          <w:p>
            <w:pPr>
              <w:adjustRightInd w:val="0"/>
              <w:snapToGrid w:val="0"/>
              <w:spacing w:line="360" w:lineRule="auto"/>
              <w:jc w:val="left"/>
              <w:rPr>
                <w:rFonts w:hint="eastAsia" w:ascii="宋体" w:hAnsi="宋体" w:cs="宋体"/>
                <w:color w:val="auto"/>
                <w:szCs w:val="21"/>
              </w:rPr>
            </w:pPr>
            <w:r>
              <w:rPr>
                <w:rFonts w:hint="eastAsia" w:ascii="宋体" w:hAnsi="宋体" w:cs="宋体"/>
                <w:color w:val="auto"/>
                <w:szCs w:val="21"/>
              </w:rPr>
              <w:t>采购项目</w:t>
            </w:r>
          </w:p>
        </w:tc>
        <w:tc>
          <w:tcPr>
            <w:tcW w:w="7065" w:type="dxa"/>
            <w:noWrap w:val="0"/>
            <w:vAlign w:val="center"/>
          </w:tcPr>
          <w:p>
            <w:pPr>
              <w:adjustRightInd w:val="0"/>
              <w:snapToGrid w:val="0"/>
              <w:spacing w:line="360" w:lineRule="auto"/>
              <w:rPr>
                <w:rFonts w:hint="eastAsia" w:ascii="宋体" w:hAnsi="宋体" w:eastAsia="宋体" w:cs="宋体"/>
                <w:color w:val="auto"/>
                <w:szCs w:val="21"/>
                <w:lang w:eastAsia="zh-CN"/>
              </w:rPr>
            </w:pPr>
            <w:r>
              <w:rPr>
                <w:rFonts w:hint="eastAsia" w:ascii="宋体" w:hAnsi="宋体" w:cs="宋体"/>
                <w:color w:val="auto"/>
                <w:kern w:val="0"/>
                <w:szCs w:val="21"/>
                <w:shd w:val="clear" w:color="auto" w:fill="FFFFFF"/>
                <w:lang w:eastAsia="zh-CN"/>
              </w:rPr>
              <w:t>娄底职业技术学院大国长技项目-现代农机数字博物馆(第一期)委托开发项目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87" w:hRule="atLeast"/>
          <w:tblHeader/>
          <w:jc w:val="center"/>
        </w:trPr>
        <w:tc>
          <w:tcPr>
            <w:tcW w:w="785" w:type="dxa"/>
            <w:noWrap w:val="0"/>
            <w:vAlign w:val="center"/>
          </w:tcPr>
          <w:p>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第二章第2.1款</w:t>
            </w:r>
          </w:p>
        </w:tc>
        <w:tc>
          <w:tcPr>
            <w:tcW w:w="1098" w:type="dxa"/>
            <w:noWrap w:val="0"/>
            <w:vAlign w:val="center"/>
          </w:tcPr>
          <w:p>
            <w:pPr>
              <w:adjustRightInd w:val="0"/>
              <w:snapToGrid w:val="0"/>
              <w:spacing w:line="360" w:lineRule="auto"/>
              <w:rPr>
                <w:rFonts w:hint="eastAsia" w:ascii="宋体" w:hAnsi="宋体" w:cs="宋体"/>
                <w:color w:val="auto"/>
                <w:szCs w:val="21"/>
              </w:rPr>
            </w:pPr>
            <w:r>
              <w:rPr>
                <w:rFonts w:hint="eastAsia" w:ascii="宋体" w:hAnsi="宋体" w:cs="宋体"/>
                <w:color w:val="auto"/>
                <w:szCs w:val="21"/>
              </w:rPr>
              <w:t>采购人</w:t>
            </w:r>
          </w:p>
        </w:tc>
        <w:tc>
          <w:tcPr>
            <w:tcW w:w="7065" w:type="dxa"/>
            <w:noWrap w:val="0"/>
            <w:vAlign w:val="center"/>
          </w:tcPr>
          <w:p>
            <w:pPr>
              <w:adjustRightInd w:val="0"/>
              <w:snapToGrid w:val="0"/>
              <w:spacing w:line="480" w:lineRule="auto"/>
              <w:rPr>
                <w:rFonts w:hint="eastAsia" w:ascii="宋体" w:hAnsi="宋体" w:eastAsia="宋体" w:cs="宋体"/>
                <w:color w:val="auto"/>
                <w:szCs w:val="21"/>
                <w:lang w:eastAsia="zh-CN"/>
              </w:rPr>
            </w:pPr>
            <w:r>
              <w:rPr>
                <w:rFonts w:hint="eastAsia" w:ascii="宋体" w:hAnsi="宋体" w:cs="宋体"/>
                <w:color w:val="auto"/>
                <w:szCs w:val="21"/>
              </w:rPr>
              <w:t>采 购 人：</w:t>
            </w:r>
            <w:r>
              <w:rPr>
                <w:rFonts w:hint="eastAsia" w:ascii="宋体" w:hAnsi="宋体" w:cs="宋体"/>
                <w:color w:val="auto"/>
                <w:szCs w:val="21"/>
                <w:lang w:eastAsia="zh-CN"/>
              </w:rPr>
              <w:t>娄底职业技术学院</w:t>
            </w:r>
          </w:p>
          <w:p>
            <w:pPr>
              <w:adjustRightInd w:val="0"/>
              <w:snapToGrid w:val="0"/>
              <w:spacing w:line="48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联系人</w:t>
            </w:r>
            <w:r>
              <w:rPr>
                <w:rFonts w:hint="eastAsia" w:ascii="宋体" w:hAnsi="宋体" w:eastAsia="宋体" w:cs="宋体"/>
                <w:color w:val="auto"/>
                <w:szCs w:val="21"/>
                <w:lang w:eastAsia="zh-CN"/>
              </w:rPr>
              <w:t>：李老师</w:t>
            </w:r>
          </w:p>
          <w:p>
            <w:pPr>
              <w:adjustRightInd w:val="0"/>
              <w:snapToGrid w:val="0"/>
              <w:spacing w:line="480" w:lineRule="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电  话</w:t>
            </w:r>
            <w:r>
              <w:rPr>
                <w:rFonts w:hint="eastAsia" w:ascii="宋体" w:hAnsi="宋体" w:eastAsia="宋体" w:cs="宋体"/>
                <w:color w:val="auto"/>
                <w:szCs w:val="21"/>
                <w:lang w:eastAsia="zh-CN"/>
              </w:rPr>
              <w:t>：</w:t>
            </w:r>
            <w:r>
              <w:rPr>
                <w:rFonts w:hint="eastAsia" w:ascii="宋体" w:hAnsi="宋体" w:cs="宋体"/>
                <w:color w:val="auto"/>
                <w:szCs w:val="21"/>
                <w:lang w:eastAsia="zh-CN"/>
              </w:rPr>
              <w:t>15080803379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87" w:hRule="atLeast"/>
          <w:tblHeader/>
          <w:jc w:val="center"/>
        </w:trPr>
        <w:tc>
          <w:tcPr>
            <w:tcW w:w="785" w:type="dxa"/>
            <w:noWrap w:val="0"/>
            <w:vAlign w:val="center"/>
          </w:tcPr>
          <w:p>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第二章第2.2款</w:t>
            </w:r>
          </w:p>
        </w:tc>
        <w:tc>
          <w:tcPr>
            <w:tcW w:w="1098" w:type="dxa"/>
            <w:noWrap w:val="0"/>
            <w:vAlign w:val="center"/>
          </w:tcPr>
          <w:p>
            <w:pPr>
              <w:adjustRightInd w:val="0"/>
              <w:snapToGrid w:val="0"/>
              <w:spacing w:line="360" w:lineRule="auto"/>
              <w:rPr>
                <w:rFonts w:hint="eastAsia" w:ascii="宋体" w:hAnsi="宋体" w:cs="宋体"/>
                <w:color w:val="auto"/>
                <w:szCs w:val="21"/>
              </w:rPr>
            </w:pPr>
            <w:r>
              <w:rPr>
                <w:rFonts w:hint="eastAsia" w:ascii="宋体" w:hAnsi="宋体" w:cs="宋体"/>
                <w:color w:val="auto"/>
                <w:szCs w:val="21"/>
              </w:rPr>
              <w:t>采购代理机构</w:t>
            </w:r>
          </w:p>
        </w:tc>
        <w:tc>
          <w:tcPr>
            <w:tcW w:w="7065" w:type="dxa"/>
            <w:noWrap w:val="0"/>
            <w:vAlign w:val="center"/>
          </w:tcPr>
          <w:p>
            <w:pPr>
              <w:adjustRightInd w:val="0"/>
              <w:snapToGrid w:val="0"/>
              <w:spacing w:line="480" w:lineRule="auto"/>
              <w:jc w:val="left"/>
              <w:rPr>
                <w:rFonts w:hint="eastAsia"/>
                <w:color w:val="auto"/>
                <w:lang w:val="en-US" w:eastAsia="zh-CN"/>
              </w:rPr>
            </w:pPr>
            <w:r>
              <w:rPr>
                <w:rFonts w:hint="eastAsia"/>
                <w:color w:val="auto"/>
                <w:lang w:val="en-US" w:eastAsia="zh-CN"/>
              </w:rPr>
              <w:t xml:space="preserve">东霖工程管理有限公司  </w:t>
            </w:r>
          </w:p>
          <w:p>
            <w:pPr>
              <w:adjustRightInd w:val="0"/>
              <w:snapToGrid w:val="0"/>
              <w:spacing w:line="480" w:lineRule="auto"/>
              <w:jc w:val="left"/>
              <w:rPr>
                <w:rFonts w:hint="eastAsia"/>
                <w:color w:val="auto"/>
                <w:lang w:val="en-US" w:eastAsia="zh-CN"/>
              </w:rPr>
            </w:pPr>
            <w:r>
              <w:rPr>
                <w:rFonts w:hint="eastAsia"/>
                <w:color w:val="auto"/>
                <w:lang w:val="en-US" w:eastAsia="zh-CN"/>
              </w:rPr>
              <w:t>联系人：梁先生</w:t>
            </w:r>
          </w:p>
          <w:p>
            <w:pPr>
              <w:adjustRightInd w:val="0"/>
              <w:snapToGrid w:val="0"/>
              <w:spacing w:line="480" w:lineRule="auto"/>
              <w:jc w:val="left"/>
              <w:rPr>
                <w:rFonts w:hint="eastAsia"/>
                <w:color w:val="auto"/>
                <w:lang w:val="en-US" w:eastAsia="zh-CN"/>
              </w:rPr>
            </w:pPr>
            <w:r>
              <w:rPr>
                <w:rFonts w:hint="eastAsia"/>
                <w:color w:val="auto"/>
                <w:lang w:val="en-US" w:eastAsia="zh-CN"/>
              </w:rPr>
              <w:t>电  话：18573859353</w:t>
            </w:r>
          </w:p>
          <w:p>
            <w:pPr>
              <w:adjustRightInd w:val="0"/>
              <w:snapToGrid w:val="0"/>
              <w:spacing w:line="480" w:lineRule="auto"/>
              <w:jc w:val="left"/>
              <w:rPr>
                <w:rFonts w:hint="eastAsia"/>
                <w:color w:val="auto"/>
                <w:lang w:eastAsia="zh-CN"/>
              </w:rPr>
            </w:pPr>
            <w:r>
              <w:rPr>
                <w:rFonts w:hint="eastAsia"/>
                <w:color w:val="auto"/>
                <w:lang w:val="en-US" w:eastAsia="zh-CN"/>
              </w:rPr>
              <w:t>地  址：娄底市娄星区大科街道勤政小区11栋3单元702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9" w:hRule="atLeast"/>
          <w:tblHeader/>
          <w:jc w:val="center"/>
        </w:trPr>
        <w:tc>
          <w:tcPr>
            <w:tcW w:w="785" w:type="dxa"/>
            <w:noWrap w:val="0"/>
            <w:vAlign w:val="center"/>
          </w:tcPr>
          <w:p>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第二章第2.3款</w:t>
            </w:r>
          </w:p>
        </w:tc>
        <w:tc>
          <w:tcPr>
            <w:tcW w:w="1098" w:type="dxa"/>
            <w:noWrap w:val="0"/>
            <w:vAlign w:val="center"/>
          </w:tcPr>
          <w:p>
            <w:pPr>
              <w:adjustRightInd w:val="0"/>
              <w:snapToGrid w:val="0"/>
              <w:spacing w:line="360" w:lineRule="auto"/>
              <w:rPr>
                <w:rFonts w:hint="eastAsia" w:ascii="宋体" w:hAnsi="宋体" w:cs="宋体"/>
                <w:bCs/>
                <w:color w:val="auto"/>
                <w:szCs w:val="21"/>
              </w:rPr>
            </w:pPr>
            <w:r>
              <w:rPr>
                <w:rFonts w:hint="eastAsia" w:ascii="宋体" w:hAnsi="宋体" w:cs="宋体"/>
                <w:color w:val="auto"/>
                <w:kern w:val="0"/>
                <w:szCs w:val="21"/>
              </w:rPr>
              <w:t>供应商的</w:t>
            </w:r>
            <w:r>
              <w:rPr>
                <w:rFonts w:hint="eastAsia" w:ascii="宋体" w:hAnsi="宋体" w:cs="宋体"/>
                <w:color w:val="auto"/>
                <w:szCs w:val="21"/>
              </w:rPr>
              <w:t>邀请方式</w:t>
            </w:r>
          </w:p>
        </w:tc>
        <w:tc>
          <w:tcPr>
            <w:tcW w:w="7065" w:type="dxa"/>
            <w:noWrap w:val="0"/>
            <w:vAlign w:val="center"/>
          </w:tcPr>
          <w:p>
            <w:pPr>
              <w:adjustRightInd w:val="0"/>
              <w:snapToGrid w:val="0"/>
              <w:spacing w:line="360" w:lineRule="auto"/>
              <w:rPr>
                <w:rFonts w:hint="eastAsia" w:ascii="宋体" w:hAnsi="宋体" w:eastAsia="宋体" w:cs="宋体"/>
                <w:color w:val="auto"/>
                <w:szCs w:val="21"/>
                <w:lang w:eastAsia="zh-CN"/>
              </w:rPr>
            </w:pPr>
            <w:r>
              <w:rPr>
                <w:rFonts w:hint="eastAsia" w:ascii="宋体" w:hAnsi="宋体" w:cs="宋体"/>
                <w:color w:val="auto"/>
                <w:szCs w:val="21"/>
                <w:highlight w:val="yellow"/>
              </w:rPr>
              <w:t xml:space="preserve">■ </w:t>
            </w:r>
            <w:r>
              <w:rPr>
                <w:rFonts w:hint="eastAsia" w:ascii="宋体" w:hAnsi="宋体" w:cs="宋体"/>
                <w:color w:val="auto"/>
                <w:highlight w:val="yellow"/>
                <w:lang w:eastAsia="zh-CN"/>
              </w:rPr>
              <w:t>娄底职业技术学院官网（http://www.ldzy.com）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88" w:hRule="atLeast"/>
          <w:tblHeader/>
          <w:jc w:val="center"/>
        </w:trPr>
        <w:tc>
          <w:tcPr>
            <w:tcW w:w="785" w:type="dxa"/>
            <w:noWrap w:val="0"/>
            <w:vAlign w:val="center"/>
          </w:tcPr>
          <w:p>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第二章第2.4款</w:t>
            </w:r>
          </w:p>
        </w:tc>
        <w:tc>
          <w:tcPr>
            <w:tcW w:w="1098" w:type="dxa"/>
            <w:noWrap w:val="0"/>
            <w:vAlign w:val="center"/>
          </w:tcPr>
          <w:p>
            <w:pPr>
              <w:adjustRightInd w:val="0"/>
              <w:snapToGrid w:val="0"/>
              <w:spacing w:line="360" w:lineRule="auto"/>
              <w:rPr>
                <w:rFonts w:hint="eastAsia" w:ascii="宋体" w:hAnsi="宋体" w:cs="宋体"/>
                <w:color w:val="auto"/>
                <w:kern w:val="0"/>
                <w:szCs w:val="21"/>
              </w:rPr>
            </w:pPr>
            <w:r>
              <w:rPr>
                <w:rFonts w:hint="eastAsia" w:ascii="宋体" w:hAnsi="宋体" w:cs="宋体"/>
                <w:color w:val="auto"/>
                <w:kern w:val="0"/>
                <w:szCs w:val="21"/>
              </w:rPr>
              <w:t>磋商小组的组成</w:t>
            </w:r>
          </w:p>
        </w:tc>
        <w:tc>
          <w:tcPr>
            <w:tcW w:w="7065" w:type="dxa"/>
            <w:noWrap w:val="0"/>
            <w:vAlign w:val="center"/>
          </w:tcPr>
          <w:p>
            <w:pPr>
              <w:adjustRightInd w:val="0"/>
              <w:snapToGrid w:val="0"/>
              <w:spacing w:line="360" w:lineRule="auto"/>
              <w:rPr>
                <w:rFonts w:hint="eastAsia" w:ascii="宋体" w:hAnsi="宋体" w:cs="宋体"/>
                <w:color w:val="auto"/>
                <w:szCs w:val="21"/>
              </w:rPr>
            </w:pPr>
            <w:r>
              <w:rPr>
                <w:rFonts w:hint="eastAsia" w:ascii="宋体" w:hAnsi="宋体" w:cs="宋体"/>
                <w:bCs/>
                <w:color w:val="auto"/>
                <w:szCs w:val="21"/>
              </w:rPr>
              <w:t>磋商小组</w:t>
            </w:r>
            <w:r>
              <w:rPr>
                <w:rFonts w:hint="eastAsia" w:ascii="宋体" w:hAnsi="宋体" w:cs="宋体"/>
                <w:color w:val="auto"/>
                <w:szCs w:val="21"/>
              </w:rPr>
              <w:t>由</w:t>
            </w:r>
            <w:r>
              <w:rPr>
                <w:rFonts w:hint="eastAsia" w:ascii="宋体" w:hAnsi="宋体" w:cs="宋体"/>
                <w:color w:val="auto"/>
                <w:szCs w:val="21"/>
                <w:lang w:val="en-US" w:eastAsia="zh-CN"/>
              </w:rPr>
              <w:t>3</w:t>
            </w:r>
            <w:r>
              <w:rPr>
                <w:rFonts w:hint="eastAsia" w:ascii="宋体" w:hAnsi="宋体" w:cs="宋体"/>
                <w:color w:val="auto"/>
                <w:szCs w:val="21"/>
              </w:rPr>
              <w:t>人以上单数组成。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785" w:type="dxa"/>
            <w:noWrap w:val="0"/>
            <w:vAlign w:val="center"/>
          </w:tcPr>
          <w:p>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第二章第3.1款</w:t>
            </w:r>
          </w:p>
          <w:p>
            <w:pPr>
              <w:adjustRightInd w:val="0"/>
              <w:snapToGrid w:val="0"/>
              <w:spacing w:line="360" w:lineRule="auto"/>
              <w:jc w:val="center"/>
              <w:rPr>
                <w:rFonts w:hint="eastAsia" w:ascii="宋体" w:hAnsi="宋体" w:cs="宋体"/>
                <w:color w:val="auto"/>
                <w:szCs w:val="21"/>
              </w:rPr>
            </w:pPr>
          </w:p>
        </w:tc>
        <w:tc>
          <w:tcPr>
            <w:tcW w:w="1098" w:type="dxa"/>
            <w:noWrap w:val="0"/>
            <w:vAlign w:val="center"/>
          </w:tcPr>
          <w:p>
            <w:pPr>
              <w:adjustRightInd w:val="0"/>
              <w:snapToGrid w:val="0"/>
              <w:spacing w:line="360" w:lineRule="auto"/>
              <w:rPr>
                <w:rFonts w:hint="eastAsia" w:ascii="宋体" w:hAnsi="宋体" w:cs="宋体"/>
                <w:color w:val="auto"/>
                <w:szCs w:val="21"/>
              </w:rPr>
            </w:pPr>
            <w:r>
              <w:rPr>
                <w:rFonts w:hint="eastAsia" w:ascii="宋体" w:hAnsi="宋体" w:cs="宋体"/>
                <w:bCs/>
                <w:color w:val="auto"/>
                <w:szCs w:val="21"/>
              </w:rPr>
              <w:t>供应商</w:t>
            </w:r>
            <w:r>
              <w:rPr>
                <w:rFonts w:hint="eastAsia" w:ascii="宋体" w:hAnsi="宋体" w:cs="宋体"/>
                <w:color w:val="auto"/>
                <w:szCs w:val="21"/>
              </w:rPr>
              <w:t>资格条件</w:t>
            </w:r>
          </w:p>
          <w:p>
            <w:pPr>
              <w:adjustRightInd w:val="0"/>
              <w:snapToGrid w:val="0"/>
              <w:spacing w:line="360" w:lineRule="auto"/>
              <w:rPr>
                <w:rFonts w:hint="eastAsia" w:ascii="宋体" w:hAnsi="宋体" w:cs="宋体"/>
                <w:color w:val="auto"/>
                <w:szCs w:val="21"/>
              </w:rPr>
            </w:pPr>
          </w:p>
        </w:tc>
        <w:tc>
          <w:tcPr>
            <w:tcW w:w="7065" w:type="dxa"/>
            <w:noWrap w:val="0"/>
            <w:vAlign w:val="center"/>
          </w:tcPr>
          <w:p>
            <w:pPr>
              <w:spacing w:line="360" w:lineRule="auto"/>
              <w:ind w:firstLine="422" w:firstLineChars="200"/>
              <w:jc w:val="left"/>
              <w:rPr>
                <w:rFonts w:hint="eastAsia" w:ascii="宋体" w:hAnsi="宋体" w:cs="宋体"/>
                <w:b w:val="0"/>
                <w:bCs w:val="0"/>
                <w:color w:val="auto"/>
                <w:szCs w:val="21"/>
              </w:rPr>
            </w:pPr>
            <w:r>
              <w:rPr>
                <w:rFonts w:hint="eastAsia" w:ascii="宋体" w:hAnsi="宋体" w:cs="宋体"/>
                <w:b/>
                <w:bCs/>
                <w:color w:val="auto"/>
                <w:szCs w:val="21"/>
                <w:lang w:val="en-US" w:eastAsia="zh-CN"/>
              </w:rPr>
              <w:t>1.</w:t>
            </w:r>
            <w:r>
              <w:rPr>
                <w:rFonts w:hint="eastAsia" w:ascii="宋体" w:hAnsi="宋体" w:cs="宋体"/>
                <w:b/>
                <w:bCs/>
                <w:color w:val="auto"/>
                <w:szCs w:val="21"/>
              </w:rPr>
              <w:t>投标人基本资格条件：</w:t>
            </w:r>
            <w:r>
              <w:rPr>
                <w:rFonts w:hint="eastAsia" w:ascii="宋体" w:hAnsi="宋体" w:cs="宋体"/>
                <w:b w:val="0"/>
                <w:bCs w:val="0"/>
                <w:color w:val="auto"/>
                <w:szCs w:val="21"/>
              </w:rPr>
              <w:t>符合《中华人民共和国政府采购法》</w:t>
            </w:r>
          </w:p>
          <w:p>
            <w:pPr>
              <w:spacing w:line="360" w:lineRule="auto"/>
              <w:ind w:firstLine="422" w:firstLineChars="200"/>
              <w:jc w:val="left"/>
              <w:rPr>
                <w:rFonts w:hint="eastAsia" w:ascii="宋体" w:hAnsi="宋体" w:cs="宋体"/>
                <w:b w:val="0"/>
                <w:bCs w:val="0"/>
                <w:color w:val="auto"/>
                <w:szCs w:val="21"/>
              </w:rPr>
            </w:pPr>
            <w:r>
              <w:rPr>
                <w:rFonts w:hint="eastAsia" w:ascii="宋体" w:hAnsi="宋体" w:cs="宋体"/>
                <w:b w:val="0"/>
                <w:bCs w:val="0"/>
                <w:color w:val="auto"/>
                <w:szCs w:val="21"/>
              </w:rPr>
              <w:t>第二十二条规定的供应商基本资质条件：</w:t>
            </w:r>
          </w:p>
          <w:p>
            <w:pPr>
              <w:spacing w:line="360" w:lineRule="auto"/>
              <w:ind w:firstLine="422" w:firstLineChars="200"/>
              <w:jc w:val="left"/>
              <w:rPr>
                <w:rFonts w:hint="eastAsia" w:ascii="宋体" w:hAnsi="宋体" w:cs="宋体"/>
                <w:b w:val="0"/>
                <w:bCs w:val="0"/>
                <w:color w:val="auto"/>
                <w:szCs w:val="21"/>
              </w:rPr>
            </w:pPr>
            <w:r>
              <w:rPr>
                <w:rFonts w:hint="eastAsia" w:ascii="宋体" w:hAnsi="宋体" w:cs="宋体"/>
                <w:b w:val="0"/>
                <w:bCs w:val="0"/>
                <w:color w:val="auto"/>
                <w:szCs w:val="21"/>
              </w:rPr>
              <w:t>1.具有独立承担民事责任的能力；</w:t>
            </w:r>
          </w:p>
          <w:p>
            <w:pPr>
              <w:spacing w:line="360" w:lineRule="auto"/>
              <w:ind w:firstLine="422" w:firstLineChars="200"/>
              <w:jc w:val="left"/>
              <w:rPr>
                <w:rFonts w:hint="eastAsia" w:ascii="宋体" w:hAnsi="宋体" w:cs="宋体"/>
                <w:b w:val="0"/>
                <w:bCs w:val="0"/>
                <w:color w:val="auto"/>
                <w:szCs w:val="21"/>
              </w:rPr>
            </w:pPr>
            <w:r>
              <w:rPr>
                <w:rFonts w:hint="eastAsia" w:ascii="宋体" w:hAnsi="宋体" w:cs="宋体"/>
                <w:b w:val="0"/>
                <w:bCs w:val="0"/>
                <w:color w:val="auto"/>
                <w:szCs w:val="21"/>
              </w:rPr>
              <w:t>2.具有良好的商业信誉和健全的财务会计制度：</w:t>
            </w:r>
          </w:p>
          <w:p>
            <w:pPr>
              <w:spacing w:line="360" w:lineRule="auto"/>
              <w:ind w:firstLine="422" w:firstLineChars="200"/>
              <w:jc w:val="left"/>
              <w:rPr>
                <w:rFonts w:hint="eastAsia" w:ascii="宋体" w:hAnsi="宋体" w:cs="宋体"/>
                <w:b w:val="0"/>
                <w:bCs w:val="0"/>
                <w:color w:val="auto"/>
                <w:szCs w:val="21"/>
              </w:rPr>
            </w:pPr>
            <w:r>
              <w:rPr>
                <w:rFonts w:hint="eastAsia" w:ascii="宋体" w:hAnsi="宋体" w:cs="宋体"/>
                <w:b w:val="0"/>
                <w:bCs w:val="0"/>
                <w:color w:val="auto"/>
                <w:szCs w:val="21"/>
              </w:rPr>
              <w:t>3.具有履行合同所必需的设备和专业技术能力；</w:t>
            </w:r>
          </w:p>
          <w:p>
            <w:pPr>
              <w:spacing w:line="360" w:lineRule="auto"/>
              <w:ind w:firstLine="422" w:firstLineChars="200"/>
              <w:jc w:val="left"/>
              <w:rPr>
                <w:rFonts w:hint="eastAsia" w:ascii="宋体" w:hAnsi="宋体" w:cs="宋体"/>
                <w:b w:val="0"/>
                <w:bCs w:val="0"/>
                <w:color w:val="auto"/>
                <w:szCs w:val="21"/>
              </w:rPr>
            </w:pPr>
            <w:r>
              <w:rPr>
                <w:rFonts w:hint="eastAsia" w:ascii="宋体" w:hAnsi="宋体" w:cs="宋体"/>
                <w:b w:val="0"/>
                <w:bCs w:val="0"/>
                <w:color w:val="auto"/>
                <w:szCs w:val="21"/>
              </w:rPr>
              <w:t>4.有依法缴纳税收和社会保障资金的良好记录；</w:t>
            </w:r>
          </w:p>
          <w:p>
            <w:pPr>
              <w:spacing w:line="360" w:lineRule="auto"/>
              <w:ind w:firstLine="422" w:firstLineChars="200"/>
              <w:jc w:val="left"/>
              <w:rPr>
                <w:rFonts w:hint="eastAsia" w:ascii="宋体" w:hAnsi="宋体" w:cs="宋体"/>
                <w:b w:val="0"/>
                <w:bCs w:val="0"/>
                <w:color w:val="auto"/>
                <w:szCs w:val="21"/>
              </w:rPr>
            </w:pPr>
            <w:r>
              <w:rPr>
                <w:rFonts w:hint="eastAsia" w:ascii="宋体" w:hAnsi="宋体" w:cs="宋体"/>
                <w:b w:val="0"/>
                <w:bCs w:val="0"/>
                <w:color w:val="auto"/>
                <w:szCs w:val="21"/>
              </w:rPr>
              <w:t>5.参加政府采购活动前三年内，在经营活动中没有重大违法记录：</w:t>
            </w:r>
          </w:p>
          <w:p>
            <w:pPr>
              <w:spacing w:line="360" w:lineRule="auto"/>
              <w:ind w:firstLine="422" w:firstLineChars="200"/>
              <w:jc w:val="left"/>
              <w:rPr>
                <w:rFonts w:hint="eastAsia" w:ascii="宋体" w:hAnsi="宋体" w:cs="宋体"/>
                <w:b w:val="0"/>
                <w:bCs w:val="0"/>
                <w:color w:val="auto"/>
                <w:szCs w:val="21"/>
              </w:rPr>
            </w:pPr>
            <w:r>
              <w:rPr>
                <w:rFonts w:hint="eastAsia" w:ascii="宋体" w:hAnsi="宋体" w:cs="宋体"/>
                <w:b w:val="0"/>
                <w:bCs w:val="0"/>
                <w:color w:val="auto"/>
                <w:szCs w:val="21"/>
              </w:rPr>
              <w:t>6.法律、行政法规规定的其他条件。</w:t>
            </w:r>
          </w:p>
          <w:p>
            <w:pPr>
              <w:spacing w:line="360" w:lineRule="auto"/>
              <w:ind w:firstLine="422" w:firstLineChars="200"/>
              <w:jc w:val="left"/>
              <w:rPr>
                <w:rFonts w:hint="eastAsia" w:ascii="宋体" w:hAnsi="宋体" w:cs="宋体"/>
                <w:b w:val="0"/>
                <w:bCs w:val="0"/>
                <w:color w:val="auto"/>
                <w:szCs w:val="21"/>
              </w:rPr>
            </w:pPr>
            <w:r>
              <w:rPr>
                <w:rFonts w:hint="eastAsia" w:ascii="宋体" w:hAnsi="宋体" w:cs="宋体"/>
                <w:b w:val="0"/>
                <w:bCs w:val="0"/>
                <w:color w:val="auto"/>
                <w:szCs w:val="21"/>
              </w:rPr>
              <w:t>(二)根据《湖南省财政厅关于政府采购促进中小企业发展有关措施的通知》以上基本资格条件中的2、3、4、5证明文件可以以承诺方式递交，如果是承诺方式，请提供《湖南省政府采购供应商资质承诺函》</w:t>
            </w:r>
          </w:p>
          <w:p>
            <w:pPr>
              <w:spacing w:line="360" w:lineRule="auto"/>
              <w:ind w:firstLine="422" w:firstLineChars="200"/>
              <w:jc w:val="left"/>
              <w:rPr>
                <w:rFonts w:hint="eastAsia" w:ascii="宋体" w:hAnsi="宋体" w:cs="宋体"/>
                <w:b w:val="0"/>
                <w:bCs w:val="0"/>
                <w:color w:val="auto"/>
                <w:szCs w:val="21"/>
              </w:rPr>
            </w:pPr>
            <w:r>
              <w:rPr>
                <w:rFonts w:hint="eastAsia" w:ascii="宋体" w:hAnsi="宋体" w:cs="宋体"/>
                <w:b w:val="0"/>
                <w:bCs w:val="0"/>
                <w:color w:val="auto"/>
                <w:szCs w:val="21"/>
              </w:rPr>
              <w:t>（三）投标人必须有相关资质，提供有效的法人营业执照副本复印件。</w:t>
            </w:r>
          </w:p>
          <w:p>
            <w:pPr>
              <w:spacing w:line="360" w:lineRule="auto"/>
              <w:ind w:firstLine="422" w:firstLineChars="200"/>
              <w:jc w:val="left"/>
              <w:rPr>
                <w:rFonts w:hint="eastAsia" w:ascii="宋体" w:hAnsi="宋体" w:cs="宋体"/>
                <w:b/>
                <w:bCs/>
                <w:color w:val="auto"/>
                <w:szCs w:val="21"/>
                <w:lang w:val="en-US" w:eastAsia="zh-CN"/>
              </w:rPr>
            </w:pPr>
            <w:r>
              <w:rPr>
                <w:rFonts w:hint="eastAsia" w:ascii="宋体" w:hAnsi="宋体" w:cs="宋体"/>
                <w:b/>
                <w:bCs/>
                <w:color w:val="auto"/>
                <w:szCs w:val="21"/>
              </w:rPr>
              <w:t>2、供应商特定资格条件：</w:t>
            </w:r>
            <w:r>
              <w:rPr>
                <w:rFonts w:hint="eastAsia" w:ascii="宋体" w:hAnsi="宋体" w:cs="宋体"/>
                <w:b/>
                <w:bCs/>
                <w:color w:val="auto"/>
                <w:szCs w:val="21"/>
                <w:lang w:val="en-US" w:eastAsia="zh-CN"/>
              </w:rPr>
              <w:t>无</w:t>
            </w:r>
          </w:p>
          <w:p>
            <w:pPr>
              <w:pStyle w:val="2"/>
              <w:rPr>
                <w:rFonts w:hint="eastAsia" w:ascii="宋体" w:hAnsi="宋体" w:cs="宋体"/>
                <w:b/>
                <w:bCs/>
                <w:color w:val="auto"/>
                <w:szCs w:val="21"/>
                <w:lang w:val="en-US" w:eastAsia="zh-CN"/>
              </w:rPr>
            </w:pPr>
          </w:p>
          <w:p>
            <w:pPr>
              <w:pStyle w:val="3"/>
              <w:rPr>
                <w:rFonts w:hint="eastAsia"/>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tblHeader/>
          <w:jc w:val="center"/>
        </w:trPr>
        <w:tc>
          <w:tcPr>
            <w:tcW w:w="785" w:type="dxa"/>
            <w:noWrap w:val="0"/>
            <w:vAlign w:val="center"/>
          </w:tcPr>
          <w:p>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第二章第6.1款</w:t>
            </w:r>
          </w:p>
        </w:tc>
        <w:tc>
          <w:tcPr>
            <w:tcW w:w="1098" w:type="dxa"/>
            <w:noWrap w:val="0"/>
            <w:vAlign w:val="center"/>
          </w:tcPr>
          <w:p>
            <w:pPr>
              <w:adjustRightInd w:val="0"/>
              <w:snapToGrid w:val="0"/>
              <w:spacing w:line="360" w:lineRule="auto"/>
              <w:rPr>
                <w:rFonts w:hint="eastAsia" w:ascii="宋体" w:hAnsi="宋体" w:cs="宋体"/>
                <w:color w:val="auto"/>
                <w:szCs w:val="21"/>
              </w:rPr>
            </w:pPr>
            <w:r>
              <w:rPr>
                <w:rFonts w:hint="eastAsia" w:ascii="宋体" w:hAnsi="宋体" w:cs="宋体"/>
                <w:color w:val="auto"/>
                <w:szCs w:val="21"/>
              </w:rPr>
              <w:t>联合体形式</w:t>
            </w:r>
          </w:p>
        </w:tc>
        <w:tc>
          <w:tcPr>
            <w:tcW w:w="7065" w:type="dxa"/>
            <w:noWrap w:val="0"/>
            <w:vAlign w:val="center"/>
          </w:tcPr>
          <w:p>
            <w:pPr>
              <w:adjustRightInd w:val="0"/>
              <w:snapToGrid w:val="0"/>
              <w:spacing w:line="520" w:lineRule="exact"/>
              <w:rPr>
                <w:rFonts w:hint="eastAsia" w:ascii="宋体" w:hAnsi="宋体" w:cs="宋体"/>
                <w:color w:val="auto"/>
                <w:szCs w:val="21"/>
              </w:rPr>
            </w:pPr>
            <w:r>
              <w:rPr>
                <w:rFonts w:hint="eastAsia" w:ascii="宋体" w:hAnsi="宋体" w:cs="宋体"/>
                <w:color w:val="auto"/>
                <w:szCs w:val="21"/>
              </w:rPr>
              <w:t>■ 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tblHeader/>
          <w:jc w:val="center"/>
        </w:trPr>
        <w:tc>
          <w:tcPr>
            <w:tcW w:w="785" w:type="dxa"/>
            <w:noWrap w:val="0"/>
            <w:vAlign w:val="center"/>
          </w:tcPr>
          <w:p>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第二章第6.2款</w:t>
            </w:r>
          </w:p>
        </w:tc>
        <w:tc>
          <w:tcPr>
            <w:tcW w:w="1098" w:type="dxa"/>
            <w:noWrap w:val="0"/>
            <w:vAlign w:val="center"/>
          </w:tcPr>
          <w:p>
            <w:pPr>
              <w:adjustRightInd w:val="0"/>
              <w:snapToGrid w:val="0"/>
              <w:spacing w:line="360" w:lineRule="auto"/>
              <w:rPr>
                <w:rFonts w:hint="eastAsia" w:ascii="宋体" w:hAnsi="宋体" w:cs="宋体"/>
                <w:color w:val="auto"/>
                <w:szCs w:val="21"/>
              </w:rPr>
            </w:pPr>
            <w:r>
              <w:rPr>
                <w:rFonts w:hint="eastAsia" w:ascii="宋体" w:hAnsi="宋体" w:cs="宋体"/>
                <w:color w:val="auto"/>
                <w:szCs w:val="21"/>
              </w:rPr>
              <w:t>对联合体各方的要求</w:t>
            </w:r>
          </w:p>
        </w:tc>
        <w:tc>
          <w:tcPr>
            <w:tcW w:w="7065" w:type="dxa"/>
            <w:noWrap w:val="0"/>
            <w:vAlign w:val="center"/>
          </w:tcPr>
          <w:p>
            <w:pPr>
              <w:adjustRightInd w:val="0"/>
              <w:snapToGrid w:val="0"/>
              <w:spacing w:line="520" w:lineRule="exact"/>
              <w:rPr>
                <w:rFonts w:hint="eastAsia" w:ascii="宋体" w:hAnsi="宋体" w:cs="宋体"/>
                <w:color w:val="auto"/>
                <w:szCs w:val="21"/>
              </w:rPr>
            </w:pPr>
            <w:r>
              <w:rPr>
                <w:rFonts w:hint="eastAsia" w:ascii="宋体" w:hAnsi="宋体" w:cs="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tblHeader/>
          <w:jc w:val="center"/>
        </w:trPr>
        <w:tc>
          <w:tcPr>
            <w:tcW w:w="785" w:type="dxa"/>
            <w:noWrap w:val="0"/>
            <w:vAlign w:val="center"/>
          </w:tcPr>
          <w:p>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第二章第7.1款</w:t>
            </w:r>
          </w:p>
        </w:tc>
        <w:tc>
          <w:tcPr>
            <w:tcW w:w="1098" w:type="dxa"/>
            <w:noWrap w:val="0"/>
            <w:vAlign w:val="center"/>
          </w:tcPr>
          <w:p>
            <w:pPr>
              <w:adjustRightInd w:val="0"/>
              <w:snapToGrid w:val="0"/>
              <w:spacing w:line="360" w:lineRule="auto"/>
              <w:rPr>
                <w:rFonts w:hint="eastAsia" w:ascii="宋体" w:hAnsi="宋体" w:cs="宋体"/>
                <w:color w:val="auto"/>
                <w:szCs w:val="21"/>
              </w:rPr>
            </w:pPr>
            <w:r>
              <w:rPr>
                <w:rFonts w:hint="eastAsia" w:ascii="宋体" w:hAnsi="宋体" w:cs="宋体"/>
                <w:color w:val="auto"/>
                <w:szCs w:val="21"/>
              </w:rPr>
              <w:t>现场勘察</w:t>
            </w:r>
          </w:p>
        </w:tc>
        <w:tc>
          <w:tcPr>
            <w:tcW w:w="7065" w:type="dxa"/>
            <w:noWrap w:val="0"/>
            <w:vAlign w:val="center"/>
          </w:tcPr>
          <w:p>
            <w:pPr>
              <w:adjustRightInd w:val="0"/>
              <w:snapToGrid w:val="0"/>
              <w:spacing w:line="52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tblHeader/>
          <w:jc w:val="center"/>
        </w:trPr>
        <w:tc>
          <w:tcPr>
            <w:tcW w:w="785" w:type="dxa"/>
            <w:noWrap w:val="0"/>
            <w:vAlign w:val="center"/>
          </w:tcPr>
          <w:p>
            <w:pPr>
              <w:rPr>
                <w:rFonts w:hint="eastAsia" w:ascii="宋体" w:hAnsi="宋体" w:cs="宋体"/>
                <w:color w:val="auto"/>
                <w:szCs w:val="21"/>
              </w:rPr>
            </w:pPr>
            <w:r>
              <w:rPr>
                <w:rFonts w:hint="eastAsia" w:ascii="宋体" w:hAnsi="宋体" w:cs="宋体"/>
                <w:color w:val="auto"/>
                <w:szCs w:val="21"/>
              </w:rPr>
              <w:t>第二章第8.1款</w:t>
            </w:r>
          </w:p>
        </w:tc>
        <w:tc>
          <w:tcPr>
            <w:tcW w:w="1098" w:type="dxa"/>
            <w:noWrap w:val="0"/>
            <w:vAlign w:val="center"/>
          </w:tcPr>
          <w:p>
            <w:pPr>
              <w:rPr>
                <w:rFonts w:hint="eastAsia" w:ascii="宋体" w:hAnsi="宋体" w:cs="宋体"/>
                <w:color w:val="auto"/>
                <w:szCs w:val="21"/>
              </w:rPr>
            </w:pPr>
            <w:r>
              <w:rPr>
                <w:rFonts w:hint="eastAsia" w:ascii="宋体" w:hAnsi="宋体" w:cs="宋体"/>
                <w:color w:val="auto"/>
                <w:szCs w:val="21"/>
              </w:rPr>
              <w:t>采购进口产品</w:t>
            </w:r>
          </w:p>
        </w:tc>
        <w:tc>
          <w:tcPr>
            <w:tcW w:w="7065" w:type="dxa"/>
            <w:noWrap w:val="0"/>
            <w:vAlign w:val="center"/>
          </w:tcPr>
          <w:p>
            <w:pPr>
              <w:spacing w:line="520" w:lineRule="exact"/>
              <w:rPr>
                <w:rFonts w:hint="eastAsia" w:ascii="宋体" w:hAnsi="宋体" w:cs="宋体"/>
                <w:color w:val="auto"/>
                <w:szCs w:val="21"/>
              </w:rPr>
            </w:pPr>
            <w:r>
              <w:rPr>
                <w:rFonts w:hint="eastAsia" w:ascii="宋体" w:hAnsi="宋体" w:cs="宋体"/>
                <w:color w:val="auto"/>
                <w:szCs w:val="21"/>
              </w:rPr>
              <w:t>■ 本项目拒绝采购进口产品</w:t>
            </w:r>
          </w:p>
          <w:p>
            <w:pPr>
              <w:spacing w:line="520" w:lineRule="exact"/>
              <w:rPr>
                <w:rFonts w:hint="eastAsia" w:ascii="宋体" w:hAnsi="宋体" w:cs="宋体"/>
                <w:color w:val="auto"/>
                <w:szCs w:val="21"/>
              </w:rPr>
            </w:pPr>
            <w:r>
              <w:rPr>
                <w:rFonts w:hint="eastAsia" w:ascii="宋体" w:hAnsi="宋体" w:cs="宋体"/>
                <w:color w:val="auto"/>
                <w:szCs w:val="21"/>
              </w:rPr>
              <w:t>□ 本采购项目已经</w:t>
            </w:r>
            <w:r>
              <w:rPr>
                <w:rFonts w:hint="eastAsia" w:ascii="宋体" w:hAnsi="宋体" w:cs="宋体"/>
                <w:color w:val="auto"/>
                <w:kern w:val="0"/>
                <w:szCs w:val="21"/>
              </w:rPr>
              <w:t>财政部门审核同意购买进口产品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8" w:hRule="atLeast"/>
          <w:tblHeader/>
          <w:jc w:val="center"/>
        </w:trPr>
        <w:tc>
          <w:tcPr>
            <w:tcW w:w="785" w:type="dxa"/>
            <w:noWrap w:val="0"/>
            <w:vAlign w:val="center"/>
          </w:tcPr>
          <w:p>
            <w:pPr>
              <w:rPr>
                <w:rFonts w:hint="eastAsia" w:ascii="宋体" w:hAnsi="宋体" w:cs="宋体"/>
                <w:color w:val="auto"/>
                <w:szCs w:val="21"/>
              </w:rPr>
            </w:pPr>
            <w:r>
              <w:rPr>
                <w:rFonts w:hint="eastAsia" w:ascii="宋体" w:hAnsi="宋体" w:cs="宋体"/>
                <w:color w:val="auto"/>
                <w:szCs w:val="21"/>
              </w:rPr>
              <w:t>第二章第9.1款</w:t>
            </w:r>
          </w:p>
        </w:tc>
        <w:tc>
          <w:tcPr>
            <w:tcW w:w="1098" w:type="dxa"/>
            <w:noWrap w:val="0"/>
            <w:vAlign w:val="center"/>
          </w:tcPr>
          <w:p>
            <w:pPr>
              <w:rPr>
                <w:rFonts w:hint="eastAsia" w:ascii="宋体" w:hAnsi="宋体" w:cs="宋体"/>
                <w:color w:val="auto"/>
                <w:sz w:val="20"/>
                <w:szCs w:val="20"/>
              </w:rPr>
            </w:pPr>
            <w:r>
              <w:rPr>
                <w:rFonts w:hint="eastAsia" w:ascii="宋体" w:hAnsi="宋体" w:cs="宋体"/>
                <w:color w:val="auto"/>
                <w:sz w:val="20"/>
                <w:szCs w:val="20"/>
              </w:rPr>
              <w:t>采购强制采购：</w:t>
            </w:r>
          </w:p>
          <w:p>
            <w:pPr>
              <w:adjustRightInd w:val="0"/>
              <w:snapToGrid w:val="0"/>
              <w:spacing w:line="360" w:lineRule="auto"/>
              <w:rPr>
                <w:rFonts w:hint="eastAsia" w:ascii="宋体" w:hAnsi="宋体" w:cs="宋体"/>
                <w:color w:val="auto"/>
                <w:sz w:val="20"/>
                <w:szCs w:val="20"/>
              </w:rPr>
            </w:pPr>
            <w:r>
              <w:rPr>
                <w:rFonts w:hint="eastAsia" w:ascii="宋体" w:hAnsi="宋体" w:cs="宋体"/>
                <w:color w:val="auto"/>
                <w:sz w:val="20"/>
                <w:szCs w:val="20"/>
              </w:rPr>
              <w:t>1、强制采购的节能产品；</w:t>
            </w:r>
          </w:p>
          <w:p>
            <w:pPr>
              <w:adjustRightInd w:val="0"/>
              <w:snapToGrid w:val="0"/>
              <w:spacing w:line="360" w:lineRule="auto"/>
              <w:rPr>
                <w:rFonts w:hint="eastAsia" w:ascii="宋体" w:hAnsi="宋体" w:cs="宋体"/>
                <w:color w:val="auto"/>
                <w:sz w:val="20"/>
                <w:szCs w:val="20"/>
              </w:rPr>
            </w:pPr>
            <w:r>
              <w:rPr>
                <w:rFonts w:hint="eastAsia" w:ascii="宋体" w:hAnsi="宋体" w:cs="宋体"/>
                <w:color w:val="auto"/>
                <w:sz w:val="20"/>
                <w:szCs w:val="20"/>
              </w:rPr>
              <w:t>2、其他。</w:t>
            </w:r>
          </w:p>
          <w:p>
            <w:pPr>
              <w:adjustRightInd w:val="0"/>
              <w:snapToGrid w:val="0"/>
              <w:spacing w:line="360" w:lineRule="auto"/>
              <w:rPr>
                <w:rFonts w:hint="eastAsia" w:ascii="宋体" w:hAnsi="宋体" w:cs="宋体"/>
                <w:color w:val="auto"/>
                <w:szCs w:val="21"/>
              </w:rPr>
            </w:pPr>
            <w:r>
              <w:rPr>
                <w:rFonts w:hint="eastAsia" w:ascii="宋体" w:hAnsi="宋体" w:cs="宋体"/>
                <w:color w:val="auto"/>
                <w:sz w:val="20"/>
                <w:szCs w:val="20"/>
              </w:rPr>
              <w:t>（本项目不适应）</w:t>
            </w:r>
          </w:p>
        </w:tc>
        <w:tc>
          <w:tcPr>
            <w:tcW w:w="7065" w:type="dxa"/>
            <w:noWrap w:val="0"/>
            <w:vAlign w:val="center"/>
          </w:tcPr>
          <w:p>
            <w:pPr>
              <w:adjustRightInd w:val="0"/>
              <w:snapToGrid w:val="0"/>
              <w:spacing w:line="360" w:lineRule="auto"/>
              <w:rPr>
                <w:rFonts w:hint="eastAsia" w:ascii="宋体" w:hAnsi="宋体" w:cs="宋体"/>
                <w:color w:val="auto"/>
                <w:szCs w:val="21"/>
              </w:rPr>
            </w:pPr>
            <w:r>
              <w:rPr>
                <w:rFonts w:hint="eastAsia" w:ascii="宋体" w:hAnsi="宋体" w:cs="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03" w:hRule="atLeast"/>
          <w:tblHeader/>
          <w:jc w:val="center"/>
        </w:trPr>
        <w:tc>
          <w:tcPr>
            <w:tcW w:w="785" w:type="dxa"/>
            <w:noWrap w:val="0"/>
            <w:vAlign w:val="center"/>
          </w:tcPr>
          <w:p>
            <w:pPr>
              <w:rPr>
                <w:rFonts w:hint="eastAsia" w:ascii="宋体" w:hAnsi="宋体" w:cs="宋体"/>
                <w:color w:val="auto"/>
                <w:szCs w:val="21"/>
              </w:rPr>
            </w:pPr>
            <w:r>
              <w:rPr>
                <w:rFonts w:hint="eastAsia" w:ascii="宋体" w:hAnsi="宋体" w:cs="宋体"/>
                <w:color w:val="auto"/>
                <w:szCs w:val="21"/>
              </w:rPr>
              <w:t>第二章第9.2款</w:t>
            </w:r>
          </w:p>
        </w:tc>
        <w:tc>
          <w:tcPr>
            <w:tcW w:w="1098" w:type="dxa"/>
            <w:noWrap w:val="0"/>
            <w:vAlign w:val="center"/>
          </w:tcPr>
          <w:p>
            <w:pPr>
              <w:rPr>
                <w:rFonts w:hint="eastAsia" w:ascii="宋体" w:hAnsi="宋体" w:cs="宋体"/>
                <w:color w:val="auto"/>
                <w:sz w:val="20"/>
                <w:szCs w:val="20"/>
              </w:rPr>
            </w:pPr>
            <w:r>
              <w:rPr>
                <w:rFonts w:hint="eastAsia" w:ascii="宋体" w:hAnsi="宋体" w:cs="宋体"/>
                <w:color w:val="auto"/>
                <w:sz w:val="20"/>
                <w:szCs w:val="20"/>
              </w:rPr>
              <w:t>采购优先采购：</w:t>
            </w:r>
          </w:p>
          <w:p>
            <w:pPr>
              <w:adjustRightInd w:val="0"/>
              <w:snapToGrid w:val="0"/>
              <w:spacing w:line="360" w:lineRule="auto"/>
              <w:rPr>
                <w:rFonts w:hint="eastAsia" w:ascii="宋体" w:hAnsi="宋体" w:cs="宋体"/>
                <w:color w:val="auto"/>
                <w:sz w:val="20"/>
                <w:szCs w:val="20"/>
              </w:rPr>
            </w:pPr>
            <w:r>
              <w:rPr>
                <w:rFonts w:hint="eastAsia" w:ascii="宋体" w:hAnsi="宋体" w:cs="宋体"/>
                <w:color w:val="auto"/>
                <w:sz w:val="20"/>
                <w:szCs w:val="20"/>
              </w:rPr>
              <w:t>1、非强制采购的节能产品；</w:t>
            </w:r>
          </w:p>
          <w:p>
            <w:pPr>
              <w:adjustRightInd w:val="0"/>
              <w:snapToGrid w:val="0"/>
              <w:spacing w:line="360" w:lineRule="auto"/>
              <w:rPr>
                <w:rFonts w:hint="eastAsia" w:ascii="宋体" w:hAnsi="宋体" w:cs="宋体"/>
                <w:color w:val="auto"/>
                <w:sz w:val="20"/>
                <w:szCs w:val="20"/>
              </w:rPr>
            </w:pPr>
            <w:r>
              <w:rPr>
                <w:rFonts w:hint="eastAsia" w:ascii="宋体" w:hAnsi="宋体" w:cs="宋体"/>
                <w:color w:val="auto"/>
                <w:sz w:val="20"/>
                <w:szCs w:val="20"/>
              </w:rPr>
              <w:t>2、环境标志产品；3、两型产品；</w:t>
            </w:r>
          </w:p>
          <w:p>
            <w:pPr>
              <w:adjustRightInd w:val="0"/>
              <w:snapToGrid w:val="0"/>
              <w:spacing w:line="360" w:lineRule="auto"/>
              <w:rPr>
                <w:rFonts w:hint="eastAsia" w:ascii="宋体" w:hAnsi="宋体" w:cs="宋体"/>
                <w:color w:val="auto"/>
                <w:sz w:val="20"/>
                <w:szCs w:val="20"/>
              </w:rPr>
            </w:pPr>
            <w:r>
              <w:rPr>
                <w:rFonts w:hint="eastAsia" w:ascii="宋体" w:hAnsi="宋体" w:cs="宋体"/>
                <w:color w:val="auto"/>
                <w:sz w:val="20"/>
                <w:szCs w:val="20"/>
              </w:rPr>
              <w:t>4、</w:t>
            </w:r>
            <w:r>
              <w:rPr>
                <w:rFonts w:hint="eastAsia" w:ascii="宋体" w:hAnsi="宋体" w:cs="宋体"/>
                <w:bCs/>
                <w:color w:val="auto"/>
                <w:kern w:val="0"/>
                <w:sz w:val="20"/>
                <w:szCs w:val="20"/>
              </w:rPr>
              <w:t>支持</w:t>
            </w:r>
            <w:r>
              <w:rPr>
                <w:rFonts w:hint="eastAsia" w:ascii="宋体" w:hAnsi="宋体" w:cs="宋体"/>
                <w:color w:val="auto"/>
                <w:sz w:val="20"/>
                <w:szCs w:val="20"/>
              </w:rPr>
              <w:t>中小企业发展；</w:t>
            </w:r>
          </w:p>
          <w:p>
            <w:pPr>
              <w:adjustRightInd w:val="0"/>
              <w:snapToGrid w:val="0"/>
              <w:spacing w:line="360" w:lineRule="auto"/>
              <w:rPr>
                <w:rFonts w:hint="eastAsia" w:ascii="宋体" w:hAnsi="宋体" w:cs="宋体"/>
                <w:color w:val="auto"/>
                <w:sz w:val="20"/>
                <w:szCs w:val="20"/>
              </w:rPr>
            </w:pPr>
            <w:r>
              <w:rPr>
                <w:rFonts w:hint="eastAsia" w:ascii="宋体" w:hAnsi="宋体" w:cs="宋体"/>
                <w:color w:val="auto"/>
                <w:sz w:val="20"/>
                <w:szCs w:val="20"/>
              </w:rPr>
              <w:t>5、其他。</w:t>
            </w:r>
          </w:p>
          <w:p>
            <w:pPr>
              <w:adjustRightInd w:val="0"/>
              <w:snapToGrid w:val="0"/>
              <w:spacing w:line="360" w:lineRule="auto"/>
              <w:rPr>
                <w:rFonts w:hint="eastAsia" w:ascii="宋体" w:hAnsi="宋体" w:cs="宋体"/>
                <w:color w:val="auto"/>
                <w:szCs w:val="21"/>
              </w:rPr>
            </w:pPr>
            <w:r>
              <w:rPr>
                <w:rFonts w:hint="eastAsia" w:ascii="宋体" w:hAnsi="宋体" w:cs="宋体"/>
                <w:color w:val="auto"/>
                <w:sz w:val="20"/>
                <w:szCs w:val="20"/>
              </w:rPr>
              <w:t>（本项目不适应）</w:t>
            </w:r>
          </w:p>
        </w:tc>
        <w:tc>
          <w:tcPr>
            <w:tcW w:w="7065" w:type="dxa"/>
            <w:noWrap w:val="0"/>
            <w:vAlign w:val="center"/>
          </w:tcPr>
          <w:p>
            <w:pPr>
              <w:rPr>
                <w:rFonts w:hint="eastAsia" w:ascii="宋体" w:hAnsi="宋体" w:cs="宋体"/>
                <w:color w:val="auto"/>
                <w:szCs w:val="21"/>
              </w:rPr>
            </w:pPr>
            <w:r>
              <w:rPr>
                <w:rFonts w:hint="eastAsia" w:ascii="宋体" w:hAnsi="宋体" w:cs="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0" w:hRule="atLeast"/>
          <w:tblHeader/>
          <w:jc w:val="center"/>
        </w:trPr>
        <w:tc>
          <w:tcPr>
            <w:tcW w:w="785" w:type="dxa"/>
            <w:vMerge w:val="restart"/>
            <w:tcBorders>
              <w:top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第二章第9.6款</w:t>
            </w:r>
          </w:p>
        </w:tc>
        <w:tc>
          <w:tcPr>
            <w:tcW w:w="1098" w:type="dxa"/>
            <w:tcBorders>
              <w:top w:val="single" w:color="auto" w:sz="4" w:space="0"/>
            </w:tcBorders>
            <w:noWrap w:val="0"/>
            <w:vAlign w:val="center"/>
          </w:tcPr>
          <w:p>
            <w:pPr>
              <w:rPr>
                <w:rFonts w:hint="eastAsia" w:ascii="宋体" w:hAnsi="宋体" w:cs="宋体"/>
                <w:color w:val="auto"/>
                <w:szCs w:val="21"/>
              </w:rPr>
            </w:pPr>
            <w:r>
              <w:rPr>
                <w:rFonts w:hint="eastAsia" w:ascii="宋体" w:hAnsi="宋体" w:cs="宋体"/>
                <w:bCs/>
                <w:color w:val="auto"/>
                <w:kern w:val="0"/>
                <w:szCs w:val="21"/>
              </w:rPr>
              <w:t>采购支持中小企业融资</w:t>
            </w:r>
          </w:p>
        </w:tc>
        <w:tc>
          <w:tcPr>
            <w:tcW w:w="7065" w:type="dxa"/>
            <w:tcBorders>
              <w:top w:val="single" w:color="auto" w:sz="4" w:space="0"/>
            </w:tcBorders>
            <w:noWrap w:val="0"/>
            <w:vAlign w:val="center"/>
          </w:tcPr>
          <w:p>
            <w:pPr>
              <w:adjustRightInd w:val="0"/>
              <w:snapToGrid w:val="0"/>
              <w:spacing w:line="360" w:lineRule="auto"/>
              <w:rPr>
                <w:rFonts w:hint="eastAsia" w:ascii="宋体" w:hAnsi="宋体" w:eastAsia="宋体" w:cs="宋体"/>
                <w:color w:val="auto"/>
                <w:szCs w:val="21"/>
                <w:lang w:eastAsia="zh-CN"/>
              </w:rPr>
            </w:pPr>
            <w:r>
              <w:rPr>
                <w:rFonts w:hint="eastAsia" w:ascii="宋体" w:hAnsi="宋体" w:cs="宋体"/>
                <w:color w:val="auto"/>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21" w:hRule="atLeast"/>
          <w:tblHeader/>
          <w:jc w:val="center"/>
        </w:trPr>
        <w:tc>
          <w:tcPr>
            <w:tcW w:w="785" w:type="dxa"/>
            <w:vMerge w:val="continue"/>
            <w:noWrap w:val="0"/>
            <w:vAlign w:val="center"/>
          </w:tcPr>
          <w:p>
            <w:pPr>
              <w:rPr>
                <w:rFonts w:hint="eastAsia" w:ascii="宋体" w:hAnsi="宋体" w:cs="宋体"/>
                <w:color w:val="auto"/>
                <w:szCs w:val="21"/>
              </w:rPr>
            </w:pPr>
          </w:p>
        </w:tc>
        <w:tc>
          <w:tcPr>
            <w:tcW w:w="1098" w:type="dxa"/>
            <w:noWrap w:val="0"/>
            <w:vAlign w:val="center"/>
          </w:tcPr>
          <w:p>
            <w:pPr>
              <w:rPr>
                <w:rFonts w:hint="eastAsia" w:ascii="宋体" w:hAnsi="宋体" w:cs="宋体"/>
                <w:color w:val="auto"/>
                <w:szCs w:val="21"/>
              </w:rPr>
            </w:pPr>
            <w:r>
              <w:rPr>
                <w:rFonts w:hint="eastAsia" w:ascii="宋体" w:hAnsi="宋体" w:cs="宋体"/>
                <w:bCs/>
                <w:color w:val="auto"/>
                <w:kern w:val="0"/>
                <w:szCs w:val="21"/>
              </w:rPr>
              <w:t>采购信用担保</w:t>
            </w:r>
          </w:p>
        </w:tc>
        <w:tc>
          <w:tcPr>
            <w:tcW w:w="7065" w:type="dxa"/>
            <w:noWrap w:val="0"/>
            <w:vAlign w:val="center"/>
          </w:tcPr>
          <w:p>
            <w:pPr>
              <w:rPr>
                <w:rFonts w:hint="eastAsia" w:ascii="宋体" w:hAnsi="宋体" w:cs="宋体"/>
                <w:color w:val="auto"/>
                <w:szCs w:val="21"/>
              </w:rPr>
            </w:pPr>
            <w:r>
              <w:rPr>
                <w:rFonts w:hint="eastAsia" w:ascii="宋体" w:hAnsi="宋体" w:cs="宋体"/>
                <w:color w:val="auto"/>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tblHeader/>
          <w:jc w:val="center"/>
        </w:trPr>
        <w:tc>
          <w:tcPr>
            <w:tcW w:w="8948" w:type="dxa"/>
            <w:gridSpan w:val="3"/>
            <w:noWrap w:val="0"/>
            <w:vAlign w:val="center"/>
          </w:tcPr>
          <w:p>
            <w:pPr>
              <w:adjustRightInd w:val="0"/>
              <w:snapToGrid w:val="0"/>
              <w:spacing w:line="360" w:lineRule="auto"/>
              <w:rPr>
                <w:rFonts w:hint="eastAsia" w:ascii="宋体" w:hAnsi="宋体" w:cs="宋体"/>
                <w:b/>
                <w:color w:val="auto"/>
                <w:szCs w:val="21"/>
              </w:rPr>
            </w:pPr>
            <w:r>
              <w:rPr>
                <w:rFonts w:hint="eastAsia" w:ascii="宋体" w:hAnsi="宋体" w:cs="宋体"/>
                <w:b/>
                <w:color w:val="auto"/>
                <w:szCs w:val="21"/>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tblHeader/>
          <w:jc w:val="center"/>
        </w:trPr>
        <w:tc>
          <w:tcPr>
            <w:tcW w:w="785" w:type="dxa"/>
            <w:noWrap w:val="0"/>
            <w:vAlign w:val="center"/>
          </w:tcPr>
          <w:p>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第二章第10.2款</w:t>
            </w:r>
          </w:p>
        </w:tc>
        <w:tc>
          <w:tcPr>
            <w:tcW w:w="1098" w:type="dxa"/>
            <w:noWrap w:val="0"/>
            <w:vAlign w:val="center"/>
          </w:tcPr>
          <w:p>
            <w:pPr>
              <w:adjustRightInd w:val="0"/>
              <w:snapToGrid w:val="0"/>
              <w:spacing w:line="360" w:lineRule="auto"/>
              <w:jc w:val="left"/>
              <w:rPr>
                <w:rFonts w:hint="eastAsia" w:ascii="宋体" w:hAnsi="宋体" w:cs="宋体"/>
                <w:color w:val="auto"/>
                <w:szCs w:val="21"/>
              </w:rPr>
            </w:pPr>
            <w:r>
              <w:rPr>
                <w:rFonts w:hint="eastAsia" w:ascii="宋体" w:hAnsi="宋体" w:cs="宋体"/>
                <w:color w:val="auto"/>
                <w:szCs w:val="21"/>
              </w:rPr>
              <w:t>磋商文件的可能实质性变动内容</w:t>
            </w:r>
          </w:p>
        </w:tc>
        <w:tc>
          <w:tcPr>
            <w:tcW w:w="7065" w:type="dxa"/>
            <w:noWrap w:val="0"/>
            <w:vAlign w:val="center"/>
          </w:tcPr>
          <w:p>
            <w:pPr>
              <w:adjustRightInd w:val="0"/>
              <w:snapToGrid w:val="0"/>
              <w:spacing w:line="360" w:lineRule="auto"/>
              <w:jc w:val="left"/>
              <w:rPr>
                <w:rFonts w:hint="eastAsia" w:ascii="宋体" w:hAnsi="宋体" w:cs="宋体"/>
                <w:color w:val="auto"/>
                <w:szCs w:val="21"/>
              </w:rPr>
            </w:pPr>
            <w:r>
              <w:rPr>
                <w:rFonts w:hint="eastAsia" w:ascii="宋体" w:hAnsi="宋体" w:cs="宋体"/>
                <w:color w:val="auto"/>
                <w:szCs w:val="21"/>
              </w:rPr>
              <w:t>技术、服务、合同条款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8" w:hRule="atLeast"/>
          <w:tblHeader/>
          <w:jc w:val="center"/>
        </w:trPr>
        <w:tc>
          <w:tcPr>
            <w:tcW w:w="785" w:type="dxa"/>
            <w:noWrap w:val="0"/>
            <w:vAlign w:val="center"/>
          </w:tcPr>
          <w:p>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第二章第11.1款</w:t>
            </w:r>
          </w:p>
        </w:tc>
        <w:tc>
          <w:tcPr>
            <w:tcW w:w="1098" w:type="dxa"/>
            <w:noWrap w:val="0"/>
            <w:vAlign w:val="center"/>
          </w:tcPr>
          <w:p>
            <w:pPr>
              <w:adjustRightInd w:val="0"/>
              <w:snapToGrid w:val="0"/>
              <w:spacing w:line="360" w:lineRule="auto"/>
              <w:jc w:val="left"/>
              <w:rPr>
                <w:rFonts w:hint="eastAsia" w:ascii="宋体" w:hAnsi="宋体" w:cs="宋体"/>
                <w:color w:val="auto"/>
                <w:szCs w:val="21"/>
              </w:rPr>
            </w:pPr>
            <w:r>
              <w:rPr>
                <w:rFonts w:hint="eastAsia" w:ascii="宋体" w:hAnsi="宋体" w:cs="宋体"/>
                <w:color w:val="auto"/>
                <w:szCs w:val="21"/>
              </w:rPr>
              <w:t>提供磋商文件期限</w:t>
            </w:r>
          </w:p>
        </w:tc>
        <w:tc>
          <w:tcPr>
            <w:tcW w:w="7065" w:type="dxa"/>
            <w:noWrap w:val="0"/>
            <w:vAlign w:val="center"/>
          </w:tcPr>
          <w:p>
            <w:pPr>
              <w:adjustRightInd w:val="0"/>
              <w:snapToGrid w:val="0"/>
              <w:spacing w:line="360" w:lineRule="auto"/>
              <w:jc w:val="left"/>
              <w:rPr>
                <w:rFonts w:hint="default" w:ascii="宋体" w:hAnsi="宋体" w:eastAsia="宋体" w:cs="宋体"/>
                <w:color w:val="auto"/>
                <w:szCs w:val="21"/>
                <w:lang w:val="en-US" w:eastAsia="zh-CN"/>
              </w:rPr>
            </w:pPr>
            <w:r>
              <w:rPr>
                <w:rFonts w:hint="eastAsia" w:ascii="宋体" w:hAnsi="宋体" w:cs="宋体"/>
                <w:color w:val="auto"/>
                <w:kern w:val="0"/>
                <w:szCs w:val="21"/>
                <w:lang w:val="en-US" w:eastAsia="zh-CN"/>
              </w:rPr>
              <w:t>详见公告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785" w:type="dxa"/>
            <w:noWrap w:val="0"/>
            <w:vAlign w:val="center"/>
          </w:tcPr>
          <w:p>
            <w:pPr>
              <w:adjustRightInd w:val="0"/>
              <w:snapToGrid w:val="0"/>
              <w:spacing w:line="560" w:lineRule="exact"/>
              <w:jc w:val="center"/>
              <w:rPr>
                <w:rFonts w:hint="eastAsia" w:ascii="宋体" w:hAnsi="宋体" w:cs="宋体"/>
                <w:color w:val="auto"/>
                <w:szCs w:val="21"/>
              </w:rPr>
            </w:pPr>
            <w:r>
              <w:rPr>
                <w:rFonts w:hint="eastAsia" w:ascii="宋体" w:hAnsi="宋体" w:cs="宋体"/>
                <w:color w:val="auto"/>
                <w:szCs w:val="21"/>
              </w:rPr>
              <w:t>第二章第12.1款</w:t>
            </w:r>
          </w:p>
        </w:tc>
        <w:tc>
          <w:tcPr>
            <w:tcW w:w="1098" w:type="dxa"/>
            <w:noWrap w:val="0"/>
            <w:vAlign w:val="center"/>
          </w:tcPr>
          <w:p>
            <w:pPr>
              <w:adjustRightInd w:val="0"/>
              <w:snapToGrid w:val="0"/>
              <w:spacing w:line="560" w:lineRule="exact"/>
              <w:rPr>
                <w:rFonts w:hint="eastAsia" w:ascii="宋体" w:hAnsi="宋体" w:cs="宋体"/>
                <w:color w:val="auto"/>
                <w:szCs w:val="21"/>
              </w:rPr>
            </w:pPr>
            <w:r>
              <w:rPr>
                <w:rFonts w:hint="eastAsia" w:ascii="宋体" w:hAnsi="宋体" w:cs="宋体"/>
                <w:color w:val="auto"/>
                <w:szCs w:val="21"/>
              </w:rPr>
              <w:t>提交首次响应文件的截止时间</w:t>
            </w:r>
          </w:p>
        </w:tc>
        <w:tc>
          <w:tcPr>
            <w:tcW w:w="7065" w:type="dxa"/>
            <w:noWrap w:val="0"/>
            <w:vAlign w:val="center"/>
          </w:tcPr>
          <w:p>
            <w:pPr>
              <w:adjustRightInd w:val="0"/>
              <w:snapToGrid w:val="0"/>
              <w:spacing w:line="560" w:lineRule="exact"/>
              <w:jc w:val="left"/>
              <w:rPr>
                <w:rFonts w:hint="eastAsia" w:ascii="宋体" w:hAnsi="宋体" w:cs="宋体"/>
                <w:color w:val="auto"/>
                <w:szCs w:val="21"/>
              </w:rPr>
            </w:pPr>
            <w:r>
              <w:rPr>
                <w:rFonts w:hint="eastAsia" w:ascii="宋体" w:hAnsi="宋体" w:cs="宋体"/>
                <w:color w:val="auto"/>
                <w:szCs w:val="21"/>
                <w:u w:val="single"/>
              </w:rPr>
              <w:t xml:space="preserve"> 202</w:t>
            </w:r>
            <w:r>
              <w:rPr>
                <w:rFonts w:hint="eastAsia" w:ascii="宋体" w:hAnsi="宋体" w:cs="宋体"/>
                <w:color w:val="auto"/>
                <w:szCs w:val="21"/>
                <w:u w:val="single"/>
                <w:lang w:val="en-US" w:eastAsia="zh-CN"/>
              </w:rPr>
              <w:t>4</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rPr>
              <w:t>日</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rPr>
              <w:t>时</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00</w:t>
            </w:r>
            <w:r>
              <w:rPr>
                <w:rFonts w:hint="eastAsia" w:ascii="宋体" w:hAnsi="宋体" w:cs="宋体"/>
                <w:color w:val="auto"/>
                <w:szCs w:val="21"/>
                <w:u w:val="single"/>
              </w:rPr>
              <w:t xml:space="preserve"> </w:t>
            </w:r>
            <w:r>
              <w:rPr>
                <w:rFonts w:hint="eastAsia" w:ascii="宋体" w:hAnsi="宋体" w:cs="宋体"/>
                <w:color w:val="auto"/>
                <w:szCs w:val="21"/>
              </w:rPr>
              <w:t>分 (北京时间)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tblHeader/>
          <w:jc w:val="center"/>
        </w:trPr>
        <w:tc>
          <w:tcPr>
            <w:tcW w:w="8948" w:type="dxa"/>
            <w:gridSpan w:val="3"/>
            <w:noWrap w:val="0"/>
            <w:vAlign w:val="center"/>
          </w:tcPr>
          <w:p>
            <w:pPr>
              <w:adjustRightInd w:val="0"/>
              <w:snapToGrid w:val="0"/>
              <w:spacing w:line="560" w:lineRule="exact"/>
              <w:rPr>
                <w:rFonts w:hint="eastAsia" w:ascii="宋体" w:hAnsi="宋体" w:cs="宋体"/>
                <w:color w:val="auto"/>
                <w:szCs w:val="21"/>
              </w:rPr>
            </w:pPr>
            <w:r>
              <w:rPr>
                <w:rFonts w:hint="eastAsia" w:ascii="宋体" w:hAnsi="宋体" w:cs="宋体"/>
                <w:b/>
                <w:color w:val="auto"/>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7" w:hRule="atLeast"/>
          <w:tblHeader/>
          <w:jc w:val="center"/>
        </w:trPr>
        <w:tc>
          <w:tcPr>
            <w:tcW w:w="785" w:type="dxa"/>
            <w:noWrap w:val="0"/>
            <w:vAlign w:val="center"/>
          </w:tcPr>
          <w:p>
            <w:pPr>
              <w:adjustRightInd w:val="0"/>
              <w:snapToGrid w:val="0"/>
              <w:spacing w:line="560" w:lineRule="exact"/>
              <w:jc w:val="center"/>
              <w:rPr>
                <w:rFonts w:hint="eastAsia" w:ascii="宋体" w:hAnsi="宋体" w:cs="宋体"/>
                <w:color w:val="auto"/>
                <w:szCs w:val="21"/>
              </w:rPr>
            </w:pPr>
            <w:r>
              <w:rPr>
                <w:rFonts w:hint="eastAsia" w:ascii="宋体" w:hAnsi="宋体" w:cs="宋体"/>
                <w:color w:val="auto"/>
                <w:szCs w:val="21"/>
              </w:rPr>
              <w:t>第二章第16.4款</w:t>
            </w:r>
          </w:p>
        </w:tc>
        <w:tc>
          <w:tcPr>
            <w:tcW w:w="1098" w:type="dxa"/>
            <w:noWrap w:val="0"/>
            <w:vAlign w:val="center"/>
          </w:tcPr>
          <w:p>
            <w:pPr>
              <w:adjustRightInd w:val="0"/>
              <w:snapToGrid w:val="0"/>
              <w:spacing w:line="560" w:lineRule="exact"/>
              <w:rPr>
                <w:rFonts w:hint="eastAsia" w:ascii="宋体" w:hAnsi="宋体" w:cs="宋体"/>
                <w:color w:val="auto"/>
                <w:szCs w:val="21"/>
              </w:rPr>
            </w:pPr>
            <w:r>
              <w:rPr>
                <w:rFonts w:hint="eastAsia" w:ascii="宋体" w:hAnsi="宋体" w:cs="宋体"/>
                <w:color w:val="auto"/>
                <w:szCs w:val="21"/>
              </w:rPr>
              <w:t>采购项目预算</w:t>
            </w:r>
          </w:p>
        </w:tc>
        <w:tc>
          <w:tcPr>
            <w:tcW w:w="7065" w:type="dxa"/>
            <w:noWrap w:val="0"/>
            <w:vAlign w:val="center"/>
          </w:tcPr>
          <w:p>
            <w:pPr>
              <w:adjustRightInd w:val="0"/>
              <w:snapToGrid w:val="0"/>
              <w:spacing w:line="560" w:lineRule="exact"/>
              <w:rPr>
                <w:rFonts w:hint="default" w:ascii="宋体" w:hAnsi="宋体" w:eastAsia="宋体" w:cs="宋体"/>
                <w:b w:val="0"/>
                <w:bCs/>
                <w:color w:val="auto"/>
                <w:sz w:val="24"/>
                <w:lang w:val="en-US" w:eastAsia="zh-CN"/>
              </w:rPr>
            </w:pPr>
            <w:r>
              <w:rPr>
                <w:rFonts w:hint="eastAsia" w:ascii="宋体" w:hAnsi="宋体" w:cs="宋体"/>
                <w:b w:val="0"/>
                <w:bCs/>
                <w:color w:val="auto"/>
                <w:sz w:val="24"/>
              </w:rPr>
              <w:t>59.97万元</w:t>
            </w:r>
            <w:r>
              <w:rPr>
                <w:rFonts w:hint="eastAsia" w:ascii="宋体" w:hAnsi="宋体" w:cs="宋体"/>
                <w:b w:val="0"/>
                <w:bCs/>
                <w:color w:val="auto"/>
                <w:sz w:val="24"/>
                <w:lang w:eastAsia="zh-CN"/>
              </w:rPr>
              <w:t>（</w:t>
            </w:r>
            <w:r>
              <w:rPr>
                <w:rFonts w:hint="eastAsia" w:ascii="宋体" w:hAnsi="宋体" w:cs="宋体"/>
                <w:b w:val="0"/>
                <w:bCs/>
                <w:color w:val="auto"/>
                <w:sz w:val="24"/>
                <w:lang w:val="en-US" w:eastAsia="zh-CN"/>
              </w:rPr>
              <w:t>本项目总价和单价均不能超过清单价格否则将做废标处理）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 w:hRule="atLeast"/>
          <w:tblHeader/>
          <w:jc w:val="center"/>
        </w:trPr>
        <w:tc>
          <w:tcPr>
            <w:tcW w:w="785" w:type="dxa"/>
            <w:noWrap w:val="0"/>
            <w:vAlign w:val="center"/>
          </w:tcPr>
          <w:p>
            <w:pPr>
              <w:adjustRightInd w:val="0"/>
              <w:snapToGrid w:val="0"/>
              <w:spacing w:line="560" w:lineRule="exact"/>
              <w:jc w:val="center"/>
              <w:rPr>
                <w:rFonts w:hint="eastAsia" w:ascii="宋体" w:hAnsi="宋体" w:cs="宋体"/>
                <w:color w:val="auto"/>
                <w:szCs w:val="21"/>
              </w:rPr>
            </w:pPr>
            <w:r>
              <w:rPr>
                <w:rFonts w:hint="eastAsia" w:ascii="宋体" w:hAnsi="宋体" w:cs="宋体"/>
                <w:color w:val="auto"/>
                <w:szCs w:val="21"/>
              </w:rPr>
              <w:t>第二章第17.3款</w:t>
            </w:r>
          </w:p>
        </w:tc>
        <w:tc>
          <w:tcPr>
            <w:tcW w:w="1098" w:type="dxa"/>
            <w:noWrap w:val="0"/>
            <w:vAlign w:val="center"/>
          </w:tcPr>
          <w:p>
            <w:pPr>
              <w:adjustRightInd w:val="0"/>
              <w:snapToGrid w:val="0"/>
              <w:spacing w:line="560" w:lineRule="exact"/>
              <w:rPr>
                <w:rFonts w:hint="eastAsia" w:ascii="宋体" w:hAnsi="宋体" w:cs="宋体"/>
                <w:color w:val="auto"/>
                <w:szCs w:val="21"/>
              </w:rPr>
            </w:pPr>
            <w:r>
              <w:rPr>
                <w:rFonts w:hint="eastAsia" w:ascii="宋体" w:hAnsi="宋体" w:cs="宋体"/>
                <w:color w:val="auto"/>
                <w:szCs w:val="21"/>
              </w:rPr>
              <w:t>非制造商的证明文件</w:t>
            </w:r>
          </w:p>
        </w:tc>
        <w:tc>
          <w:tcPr>
            <w:tcW w:w="7065" w:type="dxa"/>
            <w:noWrap w:val="0"/>
            <w:vAlign w:val="center"/>
          </w:tcPr>
          <w:p>
            <w:pPr>
              <w:adjustRightInd w:val="0"/>
              <w:snapToGrid w:val="0"/>
              <w:spacing w:line="360" w:lineRule="exact"/>
              <w:rPr>
                <w:rFonts w:ascii="宋体" w:hAnsi="宋体"/>
                <w:color w:val="auto"/>
                <w:szCs w:val="21"/>
              </w:rPr>
            </w:pPr>
            <w:r>
              <w:rPr>
                <w:rFonts w:hint="eastAsia" w:ascii="宋体" w:hAnsi="宋体" w:cs="宋体"/>
                <w:color w:val="auto"/>
                <w:szCs w:val="21"/>
              </w:rPr>
              <w:t>■</w:t>
            </w:r>
            <w:r>
              <w:rPr>
                <w:rFonts w:hint="eastAsia" w:ascii="宋体" w:hAnsi="宋体"/>
                <w:color w:val="auto"/>
                <w:szCs w:val="21"/>
              </w:rPr>
              <w:t xml:space="preserve"> 不要求提供。</w:t>
            </w:r>
          </w:p>
          <w:p>
            <w:pPr>
              <w:adjustRightInd w:val="0"/>
              <w:snapToGrid w:val="0"/>
              <w:spacing w:beforeLines="50" w:line="560" w:lineRule="exact"/>
              <w:rPr>
                <w:rFonts w:hint="eastAsia" w:ascii="宋体" w:hAnsi="宋体" w:cs="宋体"/>
                <w:color w:val="auto"/>
                <w:szCs w:val="21"/>
              </w:rPr>
            </w:pPr>
            <w:r>
              <w:rPr>
                <w:rFonts w:hint="eastAsia" w:ascii="宋体" w:hAnsi="宋体" w:cs="宋体"/>
                <w:color w:val="auto"/>
                <w:szCs w:val="21"/>
              </w:rPr>
              <w:sym w:font="Wingdings 2" w:char="00A3"/>
            </w:r>
            <w:r>
              <w:rPr>
                <w:rFonts w:hint="eastAsia" w:ascii="宋体" w:hAnsi="宋体"/>
                <w:color w:val="auto"/>
                <w:szCs w:val="21"/>
              </w:rPr>
              <w:t xml:space="preserve"> 要求提供，按照第四章要求提供。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 w:hRule="atLeast"/>
          <w:tblHeader/>
          <w:jc w:val="center"/>
        </w:trPr>
        <w:tc>
          <w:tcPr>
            <w:tcW w:w="785" w:type="dxa"/>
            <w:noWrap w:val="0"/>
            <w:vAlign w:val="center"/>
          </w:tcPr>
          <w:p>
            <w:pPr>
              <w:adjustRightInd w:val="0"/>
              <w:snapToGrid w:val="0"/>
              <w:spacing w:line="560" w:lineRule="exact"/>
              <w:jc w:val="center"/>
              <w:rPr>
                <w:rFonts w:hint="eastAsia" w:ascii="宋体" w:hAnsi="宋体" w:cs="宋体"/>
                <w:color w:val="auto"/>
                <w:szCs w:val="21"/>
              </w:rPr>
            </w:pPr>
            <w:r>
              <w:rPr>
                <w:rFonts w:hint="eastAsia" w:ascii="宋体" w:hAnsi="宋体" w:cs="宋体"/>
                <w:color w:val="auto"/>
                <w:szCs w:val="21"/>
              </w:rPr>
              <w:t>第二章第18.1款</w:t>
            </w:r>
          </w:p>
        </w:tc>
        <w:tc>
          <w:tcPr>
            <w:tcW w:w="1098" w:type="dxa"/>
            <w:noWrap w:val="0"/>
            <w:vAlign w:val="center"/>
          </w:tcPr>
          <w:p>
            <w:pPr>
              <w:adjustRightInd w:val="0"/>
              <w:snapToGrid w:val="0"/>
              <w:spacing w:line="560" w:lineRule="exact"/>
              <w:rPr>
                <w:rFonts w:hint="eastAsia" w:ascii="宋体" w:hAnsi="宋体" w:cs="宋体"/>
                <w:color w:val="auto"/>
                <w:szCs w:val="21"/>
              </w:rPr>
            </w:pPr>
            <w:r>
              <w:rPr>
                <w:rFonts w:hint="eastAsia" w:ascii="宋体" w:hAnsi="宋体" w:cs="宋体"/>
                <w:color w:val="auto"/>
                <w:szCs w:val="21"/>
              </w:rPr>
              <w:t>样品提供及样品提交的时间、地点</w:t>
            </w:r>
          </w:p>
        </w:tc>
        <w:tc>
          <w:tcPr>
            <w:tcW w:w="7065" w:type="dxa"/>
            <w:noWrap w:val="0"/>
            <w:vAlign w:val="center"/>
          </w:tcPr>
          <w:p>
            <w:pPr>
              <w:adjustRightInd w:val="0"/>
              <w:snapToGrid w:val="0"/>
              <w:spacing w:line="360" w:lineRule="exact"/>
              <w:rPr>
                <w:rFonts w:ascii="宋体" w:hAnsi="宋体"/>
                <w:color w:val="auto"/>
                <w:szCs w:val="21"/>
              </w:rPr>
            </w:pPr>
            <w:r>
              <w:rPr>
                <w:rFonts w:hint="eastAsia" w:ascii="宋体" w:hAnsi="宋体" w:cs="宋体"/>
                <w:color w:val="auto"/>
                <w:szCs w:val="21"/>
              </w:rPr>
              <w:t xml:space="preserve"> </w:t>
            </w:r>
            <w:r>
              <w:rPr>
                <w:rFonts w:hint="eastAsia" w:ascii="宋体" w:hAnsi="宋体"/>
                <w:color w:val="auto"/>
                <w:szCs w:val="21"/>
              </w:rPr>
              <w:t>要求提供，提交的时间：</w:t>
            </w:r>
            <w:r>
              <w:rPr>
                <w:rFonts w:hint="eastAsia" w:ascii="宋体" w:hAnsi="宋体"/>
                <w:color w:val="auto"/>
                <w:szCs w:val="21"/>
                <w:u w:val="single"/>
                <w:lang w:val="en-US" w:eastAsia="zh-CN"/>
              </w:rPr>
              <w:t>/</w:t>
            </w:r>
            <w:r>
              <w:rPr>
                <w:rFonts w:hint="eastAsia" w:ascii="宋体" w:hAnsi="宋体"/>
                <w:color w:val="auto"/>
                <w:szCs w:val="21"/>
              </w:rPr>
              <w:t>，地点：</w:t>
            </w:r>
            <w:r>
              <w:rPr>
                <w:rFonts w:hint="eastAsia" w:ascii="宋体" w:hAnsi="宋体"/>
                <w:color w:val="auto"/>
                <w:szCs w:val="21"/>
                <w:u w:val="single"/>
                <w:lang w:val="en-US" w:eastAsia="zh-CN"/>
              </w:rPr>
              <w:t>/</w:t>
            </w:r>
            <w:r>
              <w:rPr>
                <w:rFonts w:hint="eastAsia" w:ascii="宋体" w:hAnsi="宋体"/>
                <w:color w:val="auto"/>
                <w:szCs w:val="21"/>
              </w:rPr>
              <w:t>。</w:t>
            </w:r>
          </w:p>
          <w:p>
            <w:pPr>
              <w:adjustRightInd w:val="0"/>
              <w:snapToGrid w:val="0"/>
              <w:spacing w:beforeLines="50" w:line="560" w:lineRule="exac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olor w:val="auto"/>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785" w:type="dxa"/>
            <w:noWrap w:val="0"/>
            <w:vAlign w:val="center"/>
          </w:tcPr>
          <w:p>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第二章第19.1款</w:t>
            </w:r>
          </w:p>
        </w:tc>
        <w:tc>
          <w:tcPr>
            <w:tcW w:w="1098" w:type="dxa"/>
            <w:noWrap w:val="0"/>
            <w:vAlign w:val="center"/>
          </w:tcPr>
          <w:p>
            <w:pPr>
              <w:adjustRightInd w:val="0"/>
              <w:snapToGrid w:val="0"/>
              <w:spacing w:line="360" w:lineRule="auto"/>
              <w:ind w:left="-535" w:leftChars="-254" w:firstLine="535" w:firstLineChars="254"/>
              <w:rPr>
                <w:rFonts w:hint="eastAsia" w:ascii="宋体" w:hAnsi="宋体" w:cs="宋体"/>
                <w:color w:val="auto"/>
                <w:szCs w:val="21"/>
              </w:rPr>
            </w:pPr>
            <w:r>
              <w:rPr>
                <w:rFonts w:hint="eastAsia" w:ascii="宋体" w:hAnsi="宋体" w:cs="宋体"/>
                <w:color w:val="auto"/>
                <w:szCs w:val="21"/>
              </w:rPr>
              <w:t>保证金</w:t>
            </w:r>
          </w:p>
        </w:tc>
        <w:tc>
          <w:tcPr>
            <w:tcW w:w="7065" w:type="dxa"/>
            <w:noWrap w:val="0"/>
            <w:vAlign w:val="center"/>
          </w:tcPr>
          <w:p>
            <w:pPr>
              <w:jc w:val="left"/>
              <w:rPr>
                <w:rFonts w:hint="eastAsia" w:ascii="宋体" w:hAnsi="宋体" w:cs="宋体"/>
                <w:bCs/>
                <w:color w:val="auto"/>
                <w:szCs w:val="21"/>
              </w:rPr>
            </w:pPr>
            <w:r>
              <w:rPr>
                <w:rFonts w:hint="eastAsia" w:ascii="宋体" w:hAnsi="宋体" w:cs="宋体"/>
                <w:color w:val="auto"/>
                <w:szCs w:val="21"/>
              </w:rPr>
              <w:t>投标保证金的金额：</w:t>
            </w:r>
            <w:r>
              <w:rPr>
                <w:rFonts w:hint="eastAsia" w:ascii="宋体" w:hAnsi="宋体" w:cs="宋体"/>
                <w:color w:val="auto"/>
                <w:szCs w:val="21"/>
                <w:lang w:eastAsia="zh-CN"/>
              </w:rPr>
              <w:t>不需缴纳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785" w:type="dxa"/>
            <w:noWrap w:val="0"/>
            <w:vAlign w:val="center"/>
          </w:tcPr>
          <w:p>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第二章第20.1款</w:t>
            </w:r>
          </w:p>
        </w:tc>
        <w:tc>
          <w:tcPr>
            <w:tcW w:w="1098" w:type="dxa"/>
            <w:noWrap w:val="0"/>
            <w:vAlign w:val="center"/>
          </w:tcPr>
          <w:p>
            <w:pPr>
              <w:adjustRightInd w:val="0"/>
              <w:snapToGrid w:val="0"/>
              <w:spacing w:line="360" w:lineRule="exact"/>
              <w:rPr>
                <w:rFonts w:hint="eastAsia" w:ascii="宋体" w:hAnsi="宋体" w:cs="宋体"/>
                <w:bCs/>
                <w:color w:val="auto"/>
                <w:szCs w:val="21"/>
              </w:rPr>
            </w:pPr>
            <w:r>
              <w:rPr>
                <w:rFonts w:hint="eastAsia" w:ascii="宋体" w:hAnsi="宋体" w:cs="宋体"/>
                <w:bCs/>
                <w:color w:val="auto"/>
                <w:szCs w:val="21"/>
              </w:rPr>
              <w:t>响应文件有效期</w:t>
            </w:r>
          </w:p>
        </w:tc>
        <w:tc>
          <w:tcPr>
            <w:tcW w:w="7065" w:type="dxa"/>
            <w:noWrap w:val="0"/>
            <w:vAlign w:val="center"/>
          </w:tcPr>
          <w:p>
            <w:pPr>
              <w:adjustRightInd w:val="0"/>
              <w:snapToGrid w:val="0"/>
              <w:spacing w:line="360" w:lineRule="exact"/>
              <w:rPr>
                <w:rFonts w:hint="eastAsia" w:ascii="宋体" w:hAnsi="宋体" w:cs="宋体"/>
                <w:bCs/>
                <w:color w:val="auto"/>
                <w:szCs w:val="21"/>
              </w:rPr>
            </w:pPr>
            <w:r>
              <w:rPr>
                <w:rFonts w:hint="eastAsia" w:ascii="宋体" w:hAnsi="宋体" w:cs="宋体"/>
                <w:color w:val="auto"/>
                <w:szCs w:val="21"/>
                <w:u w:val="single"/>
              </w:rPr>
              <w:t xml:space="preserve">  90  </w:t>
            </w:r>
            <w:r>
              <w:rPr>
                <w:rFonts w:hint="eastAsia" w:ascii="宋体" w:hAnsi="宋体" w:cs="宋体"/>
                <w:color w:val="auto"/>
                <w:szCs w:val="21"/>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5" w:hRule="atLeast"/>
          <w:tblHeader/>
          <w:jc w:val="center"/>
        </w:trPr>
        <w:tc>
          <w:tcPr>
            <w:tcW w:w="785" w:type="dxa"/>
            <w:noWrap w:val="0"/>
            <w:vAlign w:val="center"/>
          </w:tcPr>
          <w:p>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第二章第21.1款</w:t>
            </w:r>
          </w:p>
        </w:tc>
        <w:tc>
          <w:tcPr>
            <w:tcW w:w="1098" w:type="dxa"/>
            <w:noWrap w:val="0"/>
            <w:vAlign w:val="center"/>
          </w:tcPr>
          <w:p>
            <w:pPr>
              <w:adjustRightInd w:val="0"/>
              <w:snapToGrid w:val="0"/>
              <w:spacing w:line="360" w:lineRule="exact"/>
              <w:rPr>
                <w:rFonts w:hint="eastAsia" w:ascii="宋体" w:hAnsi="宋体" w:cs="宋体"/>
                <w:color w:val="auto"/>
                <w:szCs w:val="21"/>
              </w:rPr>
            </w:pPr>
            <w:r>
              <w:rPr>
                <w:rFonts w:hint="eastAsia" w:ascii="宋体" w:hAnsi="宋体" w:cs="宋体"/>
                <w:bCs/>
                <w:color w:val="auto"/>
                <w:szCs w:val="21"/>
              </w:rPr>
              <w:t>响应</w:t>
            </w:r>
            <w:r>
              <w:rPr>
                <w:rFonts w:hint="eastAsia" w:ascii="宋体" w:hAnsi="宋体" w:cs="宋体"/>
                <w:color w:val="auto"/>
                <w:szCs w:val="21"/>
              </w:rPr>
              <w:t>文件副本份数</w:t>
            </w:r>
          </w:p>
        </w:tc>
        <w:tc>
          <w:tcPr>
            <w:tcW w:w="7065" w:type="dxa"/>
            <w:noWrap w:val="0"/>
            <w:vAlign w:val="center"/>
          </w:tcPr>
          <w:p>
            <w:pPr>
              <w:adjustRightInd w:val="0"/>
              <w:snapToGrid w:val="0"/>
              <w:spacing w:line="360" w:lineRule="exact"/>
              <w:rPr>
                <w:rFonts w:hint="eastAsia" w:ascii="宋体" w:hAnsi="宋体" w:cs="宋体"/>
                <w:color w:val="auto"/>
                <w:szCs w:val="21"/>
                <w:u w:val="single"/>
              </w:rPr>
            </w:pPr>
            <w:r>
              <w:rPr>
                <w:rFonts w:hint="eastAsia" w:ascii="宋体" w:hAnsi="宋体" w:cs="宋体"/>
                <w:color w:val="auto"/>
                <w:szCs w:val="21"/>
                <w:u w:val="single"/>
              </w:rPr>
              <w:t xml:space="preserve"> 1 </w:t>
            </w:r>
            <w:r>
              <w:rPr>
                <w:rFonts w:hint="eastAsia" w:ascii="宋体" w:hAnsi="宋体" w:cs="宋体"/>
                <w:color w:val="auto"/>
                <w:szCs w:val="21"/>
              </w:rPr>
              <w:t>正</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w:t>
            </w:r>
            <w:r>
              <w:rPr>
                <w:rFonts w:hint="eastAsia" w:ascii="宋体" w:hAnsi="宋体" w:cs="宋体"/>
                <w:color w:val="auto"/>
                <w:szCs w:val="21"/>
                <w:u w:val="single"/>
              </w:rPr>
              <w:t xml:space="preserve"> </w:t>
            </w:r>
            <w:r>
              <w:rPr>
                <w:rFonts w:hint="eastAsia" w:ascii="宋体" w:hAnsi="宋体" w:cs="宋体"/>
                <w:color w:val="auto"/>
                <w:szCs w:val="21"/>
              </w:rPr>
              <w:t>副，电子文档1份（需U盘PDF格式存档，单独密封包装）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tblHeader/>
          <w:jc w:val="center"/>
        </w:trPr>
        <w:tc>
          <w:tcPr>
            <w:tcW w:w="8948" w:type="dxa"/>
            <w:gridSpan w:val="3"/>
            <w:noWrap w:val="0"/>
            <w:vAlign w:val="center"/>
          </w:tcPr>
          <w:p>
            <w:pPr>
              <w:adjustRightInd w:val="0"/>
              <w:snapToGrid w:val="0"/>
              <w:spacing w:line="360" w:lineRule="exact"/>
              <w:rPr>
                <w:rFonts w:hint="eastAsia" w:ascii="宋体" w:hAnsi="宋体" w:cs="宋体"/>
                <w:b/>
                <w:bCs/>
                <w:color w:val="auto"/>
                <w:szCs w:val="21"/>
              </w:rPr>
            </w:pPr>
            <w:r>
              <w:rPr>
                <w:rFonts w:hint="eastAsia" w:ascii="宋体" w:hAnsi="宋体" w:cs="宋体"/>
                <w:b/>
                <w:color w:val="auto"/>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 w:hRule="atLeast"/>
          <w:tblHeader/>
          <w:jc w:val="center"/>
        </w:trPr>
        <w:tc>
          <w:tcPr>
            <w:tcW w:w="785" w:type="dxa"/>
            <w:noWrap w:val="0"/>
            <w:vAlign w:val="center"/>
          </w:tcPr>
          <w:p>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第二章第22.2款</w:t>
            </w:r>
          </w:p>
        </w:tc>
        <w:tc>
          <w:tcPr>
            <w:tcW w:w="1098" w:type="dxa"/>
            <w:noWrap w:val="0"/>
            <w:vAlign w:val="center"/>
          </w:tcPr>
          <w:p>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封套上应载明的信息</w:t>
            </w:r>
          </w:p>
        </w:tc>
        <w:tc>
          <w:tcPr>
            <w:tcW w:w="7065" w:type="dxa"/>
            <w:noWrap w:val="0"/>
            <w:vAlign w:val="center"/>
          </w:tcPr>
          <w:p>
            <w:pPr>
              <w:adjustRightInd w:val="0"/>
              <w:snapToGrid w:val="0"/>
              <w:spacing w:line="360" w:lineRule="exact"/>
              <w:rPr>
                <w:rFonts w:hint="eastAsia" w:ascii="宋体" w:hAnsi="宋体" w:cs="宋体"/>
                <w:color w:val="auto"/>
                <w:szCs w:val="21"/>
              </w:rPr>
            </w:pPr>
            <w:r>
              <w:rPr>
                <w:rFonts w:hint="eastAsia" w:ascii="宋体" w:hAnsi="宋体" w:cs="宋体"/>
                <w:color w:val="auto"/>
                <w:szCs w:val="21"/>
                <w:lang w:eastAsia="zh-CN"/>
              </w:rPr>
              <w:t>娄底职业技术学院大国长技项目-现代农机数字博物馆(第一期)委托开发项目</w:t>
            </w:r>
            <w:r>
              <w:rPr>
                <w:rFonts w:hint="eastAsia" w:ascii="宋体" w:hAnsi="宋体" w:cs="宋体"/>
                <w:color w:val="auto"/>
                <w:szCs w:val="21"/>
              </w:rPr>
              <w:t xml:space="preserve">        </w:t>
            </w:r>
          </w:p>
          <w:p>
            <w:pPr>
              <w:adjustRightInd w:val="0"/>
              <w:snapToGrid w:val="0"/>
              <w:spacing w:line="360" w:lineRule="exact"/>
              <w:rPr>
                <w:rFonts w:hint="eastAsia" w:ascii="宋体" w:hAnsi="宋体" w:cs="宋体"/>
                <w:color w:val="auto"/>
                <w:szCs w:val="21"/>
                <w:lang w:val="en-US" w:eastAsia="zh-CN"/>
              </w:rPr>
            </w:pPr>
            <w:r>
              <w:rPr>
                <w:rFonts w:hint="eastAsia" w:ascii="宋体" w:hAnsi="宋体" w:cs="宋体"/>
                <w:color w:val="auto"/>
                <w:szCs w:val="21"/>
              </w:rPr>
              <w:t>采购代理编号:</w:t>
            </w:r>
            <w:r>
              <w:rPr>
                <w:rFonts w:hint="eastAsia" w:ascii="宋体" w:hAnsi="宋体" w:cs="宋体"/>
                <w:color w:val="auto"/>
                <w:szCs w:val="21"/>
                <w:lang w:val="en-US" w:eastAsia="zh-CN"/>
              </w:rPr>
              <w:t>DLGCLD-2024-Z006</w:t>
            </w:r>
          </w:p>
          <w:p>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供应商名称：</w:t>
            </w:r>
            <w:r>
              <w:rPr>
                <w:rFonts w:hint="eastAsia" w:ascii="宋体" w:hAnsi="宋体" w:cs="宋体"/>
                <w:color w:val="auto"/>
                <w:szCs w:val="21"/>
                <w:u w:val="single"/>
              </w:rPr>
              <w:t xml:space="preserve">                    </w:t>
            </w:r>
          </w:p>
          <w:p>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在</w:t>
            </w:r>
            <w:r>
              <w:rPr>
                <w:rFonts w:hint="eastAsia" w:ascii="宋体" w:hAnsi="宋体" w:cs="宋体"/>
                <w:color w:val="auto"/>
                <w:szCs w:val="21"/>
                <w:u w:val="single"/>
              </w:rPr>
              <w:t xml:space="preserve"> 202</w:t>
            </w:r>
            <w:r>
              <w:rPr>
                <w:rFonts w:hint="eastAsia" w:ascii="宋体" w:hAnsi="宋体" w:cs="宋体"/>
                <w:color w:val="auto"/>
                <w:szCs w:val="21"/>
                <w:u w:val="single"/>
                <w:lang w:val="en-US" w:eastAsia="zh-CN"/>
              </w:rPr>
              <w:t>4</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lang w:val="en-US" w:eastAsia="zh-CN"/>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日（星期</w:t>
            </w:r>
            <w:r>
              <w:rPr>
                <w:rFonts w:hint="eastAsia" w:ascii="宋体" w:hAnsi="宋体" w:cs="宋体"/>
                <w:color w:val="auto"/>
                <w:szCs w:val="21"/>
                <w:lang w:val="en-US" w:eastAsia="zh-CN"/>
              </w:rPr>
              <w:t xml:space="preserve">   </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rPr>
              <w:t>时</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00</w:t>
            </w:r>
            <w:r>
              <w:rPr>
                <w:rFonts w:hint="eastAsia" w:ascii="宋体" w:hAnsi="宋体" w:cs="宋体"/>
                <w:color w:val="auto"/>
                <w:szCs w:val="21"/>
                <w:u w:val="single"/>
              </w:rPr>
              <w:t xml:space="preserve"> </w:t>
            </w:r>
            <w:r>
              <w:rPr>
                <w:rFonts w:hint="eastAsia" w:ascii="宋体" w:hAnsi="宋体" w:cs="宋体"/>
                <w:color w:val="auto"/>
                <w:szCs w:val="21"/>
              </w:rPr>
              <w:t>分之前不得启封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tblHeader/>
          <w:jc w:val="center"/>
        </w:trPr>
        <w:tc>
          <w:tcPr>
            <w:tcW w:w="785" w:type="dxa"/>
            <w:noWrap w:val="0"/>
            <w:vAlign w:val="center"/>
          </w:tcPr>
          <w:p>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第二章第24.1款</w:t>
            </w:r>
          </w:p>
        </w:tc>
        <w:tc>
          <w:tcPr>
            <w:tcW w:w="1098" w:type="dxa"/>
            <w:noWrap w:val="0"/>
            <w:vAlign w:val="center"/>
          </w:tcPr>
          <w:p>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响应文件的递交地点</w:t>
            </w:r>
          </w:p>
        </w:tc>
        <w:tc>
          <w:tcPr>
            <w:tcW w:w="7065" w:type="dxa"/>
            <w:noWrap w:val="0"/>
            <w:vAlign w:val="center"/>
          </w:tcPr>
          <w:p>
            <w:pPr>
              <w:adjustRightInd w:val="0"/>
              <w:snapToGrid w:val="0"/>
              <w:spacing w:line="360" w:lineRule="exact"/>
              <w:rPr>
                <w:rFonts w:hint="default" w:ascii="宋体" w:hAnsi="宋体" w:eastAsia="宋体" w:cs="宋体"/>
                <w:bCs/>
                <w:color w:val="auto"/>
                <w:szCs w:val="21"/>
                <w:lang w:val="en-US" w:eastAsia="zh-CN"/>
              </w:rPr>
            </w:pPr>
            <w:r>
              <w:rPr>
                <w:rFonts w:hint="eastAsia" w:ascii="宋体" w:hAnsi="宋体" w:cs="宋体"/>
                <w:color w:val="auto"/>
                <w:kern w:val="0"/>
                <w:szCs w:val="21"/>
                <w:lang w:val="en-US" w:eastAsia="zh-CN"/>
              </w:rPr>
              <w:t>娄星区大科街道勤政小区11栋3单元702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8948" w:type="dxa"/>
            <w:gridSpan w:val="3"/>
            <w:noWrap w:val="0"/>
            <w:vAlign w:val="center"/>
          </w:tcPr>
          <w:p>
            <w:pPr>
              <w:adjustRightInd w:val="0"/>
              <w:snapToGrid w:val="0"/>
              <w:spacing w:line="360" w:lineRule="exact"/>
              <w:rPr>
                <w:rFonts w:hint="eastAsia" w:ascii="宋体" w:hAnsi="宋体" w:cs="宋体"/>
                <w:b/>
                <w:bCs/>
                <w:color w:val="auto"/>
                <w:szCs w:val="21"/>
              </w:rPr>
            </w:pPr>
            <w:r>
              <w:rPr>
                <w:rFonts w:hint="eastAsia" w:ascii="宋体" w:hAnsi="宋体" w:cs="宋体"/>
                <w:b/>
                <w:bCs/>
                <w:color w:val="auto"/>
                <w:szCs w:val="21"/>
              </w:rPr>
              <w:t>五、响应文件的磋商与评审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tblHeader/>
          <w:jc w:val="center"/>
        </w:trPr>
        <w:tc>
          <w:tcPr>
            <w:tcW w:w="785" w:type="dxa"/>
            <w:noWrap w:val="0"/>
            <w:vAlign w:val="center"/>
          </w:tcPr>
          <w:p>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第二章第31.2款</w:t>
            </w:r>
          </w:p>
        </w:tc>
        <w:tc>
          <w:tcPr>
            <w:tcW w:w="1098" w:type="dxa"/>
            <w:noWrap w:val="0"/>
            <w:vAlign w:val="center"/>
          </w:tcPr>
          <w:p>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评审因素和标准</w:t>
            </w:r>
          </w:p>
        </w:tc>
        <w:tc>
          <w:tcPr>
            <w:tcW w:w="7065" w:type="dxa"/>
            <w:noWrap w:val="0"/>
            <w:vAlign w:val="center"/>
          </w:tcPr>
          <w:p>
            <w:pPr>
              <w:adjustRightInd w:val="0"/>
              <w:snapToGrid w:val="0"/>
              <w:spacing w:line="360" w:lineRule="exact"/>
              <w:rPr>
                <w:rFonts w:hint="eastAsia" w:ascii="宋体" w:hAnsi="宋体" w:cs="宋体"/>
                <w:bCs/>
                <w:color w:val="auto"/>
                <w:szCs w:val="21"/>
              </w:rPr>
            </w:pPr>
            <w:r>
              <w:rPr>
                <w:rFonts w:hint="eastAsia" w:ascii="宋体" w:hAnsi="宋体" w:cs="宋体"/>
                <w:bCs/>
                <w:color w:val="auto"/>
                <w:szCs w:val="21"/>
              </w:rPr>
              <w:t>见附页4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tblHeader/>
          <w:jc w:val="center"/>
        </w:trPr>
        <w:tc>
          <w:tcPr>
            <w:tcW w:w="785" w:type="dxa"/>
            <w:noWrap w:val="0"/>
            <w:vAlign w:val="center"/>
          </w:tcPr>
          <w:p>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第二章第31.3款</w:t>
            </w:r>
          </w:p>
        </w:tc>
        <w:tc>
          <w:tcPr>
            <w:tcW w:w="1098" w:type="dxa"/>
            <w:noWrap w:val="0"/>
            <w:vAlign w:val="center"/>
          </w:tcPr>
          <w:p>
            <w:pPr>
              <w:adjustRightInd w:val="0"/>
              <w:snapToGrid w:val="0"/>
              <w:spacing w:line="360" w:lineRule="exact"/>
              <w:jc w:val="center"/>
              <w:rPr>
                <w:rFonts w:hint="eastAsia" w:ascii="宋体" w:hAnsi="宋体" w:cs="宋体"/>
                <w:color w:val="auto"/>
                <w:szCs w:val="21"/>
              </w:rPr>
            </w:pPr>
            <w:r>
              <w:rPr>
                <w:rFonts w:hint="eastAsia" w:ascii="宋体" w:hAnsi="宋体" w:cs="宋体"/>
                <w:color w:val="auto"/>
                <w:kern w:val="0"/>
                <w:szCs w:val="21"/>
              </w:rPr>
              <w:t>最后报价</w:t>
            </w:r>
            <w:r>
              <w:rPr>
                <w:rFonts w:hint="eastAsia" w:ascii="宋体" w:hAnsi="宋体" w:cs="宋体"/>
                <w:color w:val="auto"/>
                <w:szCs w:val="21"/>
              </w:rPr>
              <w:t>调整</w:t>
            </w:r>
          </w:p>
          <w:p>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（本项目不适应）</w:t>
            </w:r>
          </w:p>
        </w:tc>
        <w:tc>
          <w:tcPr>
            <w:tcW w:w="7065" w:type="dxa"/>
            <w:noWrap w:val="0"/>
            <w:vAlign w:val="center"/>
          </w:tcPr>
          <w:p>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tblHeader/>
          <w:jc w:val="center"/>
        </w:trPr>
        <w:tc>
          <w:tcPr>
            <w:tcW w:w="785" w:type="dxa"/>
            <w:noWrap w:val="0"/>
            <w:vAlign w:val="center"/>
          </w:tcPr>
          <w:p>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第二章第31.5款</w:t>
            </w:r>
          </w:p>
        </w:tc>
        <w:tc>
          <w:tcPr>
            <w:tcW w:w="1098" w:type="dxa"/>
            <w:noWrap w:val="0"/>
            <w:vAlign w:val="center"/>
          </w:tcPr>
          <w:p>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技术、商务、价格</w:t>
            </w:r>
            <w:r>
              <w:rPr>
                <w:rFonts w:hint="eastAsia" w:ascii="宋体" w:hAnsi="宋体" w:cs="宋体"/>
                <w:color w:val="auto"/>
                <w:kern w:val="0"/>
                <w:szCs w:val="21"/>
              </w:rPr>
              <w:t>得分或总得分</w:t>
            </w:r>
            <w:r>
              <w:rPr>
                <w:rFonts w:hint="eastAsia" w:ascii="宋体" w:hAnsi="宋体" w:cs="宋体"/>
                <w:color w:val="auto"/>
                <w:szCs w:val="21"/>
              </w:rPr>
              <w:t>调整</w:t>
            </w:r>
          </w:p>
          <w:p>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（本项目不适应）</w:t>
            </w:r>
          </w:p>
          <w:p>
            <w:pPr>
              <w:adjustRightInd w:val="0"/>
              <w:snapToGrid w:val="0"/>
              <w:spacing w:line="360" w:lineRule="exact"/>
              <w:jc w:val="center"/>
              <w:rPr>
                <w:rFonts w:hint="eastAsia" w:ascii="宋体" w:hAnsi="宋体" w:cs="宋体"/>
                <w:color w:val="auto"/>
                <w:szCs w:val="21"/>
              </w:rPr>
            </w:pPr>
          </w:p>
        </w:tc>
        <w:tc>
          <w:tcPr>
            <w:tcW w:w="7065" w:type="dxa"/>
            <w:noWrap w:val="0"/>
            <w:vAlign w:val="center"/>
          </w:tcPr>
          <w:p>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tblHeader/>
          <w:jc w:val="center"/>
        </w:trPr>
        <w:tc>
          <w:tcPr>
            <w:tcW w:w="785" w:type="dxa"/>
            <w:noWrap w:val="0"/>
            <w:vAlign w:val="center"/>
          </w:tcPr>
          <w:p>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第二章第31.6款</w:t>
            </w:r>
          </w:p>
        </w:tc>
        <w:tc>
          <w:tcPr>
            <w:tcW w:w="1098" w:type="dxa"/>
            <w:noWrap w:val="0"/>
            <w:vAlign w:val="center"/>
          </w:tcPr>
          <w:p>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多处或部分获得采购政策优惠的计算方法</w:t>
            </w:r>
          </w:p>
          <w:p>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（本项目不适应）</w:t>
            </w:r>
          </w:p>
          <w:p>
            <w:pPr>
              <w:adjustRightInd w:val="0"/>
              <w:snapToGrid w:val="0"/>
              <w:spacing w:line="360" w:lineRule="exact"/>
              <w:jc w:val="center"/>
              <w:rPr>
                <w:rFonts w:hint="eastAsia" w:ascii="宋体" w:hAnsi="宋体" w:cs="宋体"/>
                <w:color w:val="auto"/>
                <w:szCs w:val="21"/>
              </w:rPr>
            </w:pPr>
          </w:p>
          <w:p>
            <w:pPr>
              <w:adjustRightInd w:val="0"/>
              <w:snapToGrid w:val="0"/>
              <w:spacing w:line="360" w:lineRule="exact"/>
              <w:jc w:val="center"/>
              <w:rPr>
                <w:rFonts w:hint="eastAsia" w:ascii="宋体" w:hAnsi="宋体" w:cs="宋体"/>
                <w:color w:val="auto"/>
                <w:szCs w:val="21"/>
              </w:rPr>
            </w:pPr>
          </w:p>
        </w:tc>
        <w:tc>
          <w:tcPr>
            <w:tcW w:w="7065" w:type="dxa"/>
            <w:noWrap w:val="0"/>
            <w:vAlign w:val="center"/>
          </w:tcPr>
          <w:p>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tblHeader/>
          <w:jc w:val="center"/>
        </w:trPr>
        <w:tc>
          <w:tcPr>
            <w:tcW w:w="785" w:type="dxa"/>
            <w:noWrap w:val="0"/>
            <w:vAlign w:val="center"/>
          </w:tcPr>
          <w:p>
            <w:pPr>
              <w:adjustRightInd w:val="0"/>
              <w:snapToGrid w:val="0"/>
              <w:spacing w:line="360" w:lineRule="auto"/>
              <w:jc w:val="center"/>
              <w:rPr>
                <w:rFonts w:hint="eastAsia" w:ascii="宋体" w:hAnsi="宋体" w:cs="宋体"/>
                <w:color w:val="auto"/>
                <w:szCs w:val="21"/>
              </w:rPr>
            </w:pPr>
            <w:r>
              <w:rPr>
                <w:rFonts w:hint="eastAsia" w:ascii="宋体" w:hAnsi="宋体"/>
                <w:color w:val="auto"/>
                <w:szCs w:val="21"/>
              </w:rPr>
              <w:t>第二章第32.1款</w:t>
            </w:r>
          </w:p>
        </w:tc>
        <w:tc>
          <w:tcPr>
            <w:tcW w:w="1098" w:type="dxa"/>
            <w:noWrap w:val="0"/>
            <w:vAlign w:val="center"/>
          </w:tcPr>
          <w:p>
            <w:pPr>
              <w:adjustRightInd w:val="0"/>
              <w:snapToGrid w:val="0"/>
              <w:spacing w:line="360" w:lineRule="auto"/>
              <w:jc w:val="center"/>
              <w:rPr>
                <w:rFonts w:hint="eastAsia" w:ascii="宋体" w:hAnsi="宋体" w:cs="宋体"/>
                <w:color w:val="auto"/>
                <w:szCs w:val="21"/>
              </w:rPr>
            </w:pPr>
            <w:r>
              <w:rPr>
                <w:rFonts w:hint="eastAsia" w:ascii="宋体" w:hAnsi="宋体"/>
                <w:color w:val="auto"/>
                <w:szCs w:val="21"/>
              </w:rPr>
              <w:t>提出成交供应商</w:t>
            </w:r>
          </w:p>
        </w:tc>
        <w:tc>
          <w:tcPr>
            <w:tcW w:w="7065" w:type="dxa"/>
            <w:noWrap w:val="0"/>
            <w:vAlign w:val="center"/>
          </w:tcPr>
          <w:p>
            <w:pPr>
              <w:adjustRightInd w:val="0"/>
              <w:snapToGrid w:val="0"/>
              <w:rPr>
                <w:rFonts w:hint="eastAsia" w:ascii="宋体" w:hAnsi="宋体" w:cs="宋体"/>
                <w:color w:val="auto"/>
                <w:szCs w:val="21"/>
              </w:rPr>
            </w:pPr>
            <w:r>
              <w:rPr>
                <w:rFonts w:hint="eastAsia" w:ascii="宋体" w:hAnsi="宋体" w:cs="宋体"/>
                <w:bCs/>
                <w:color w:val="auto"/>
                <w:szCs w:val="21"/>
              </w:rPr>
              <w:t xml:space="preserve">根据综合评分情况，按照评审得分由高到低顺序推荐3名以上成交候选供应商。评审得分相同的，按照最后报价由低到高的顺序推荐。评审得分且最后报价相同的，按照技术指标优劣顺序推荐。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tblHeader/>
          <w:jc w:val="center"/>
        </w:trPr>
        <w:tc>
          <w:tcPr>
            <w:tcW w:w="8948" w:type="dxa"/>
            <w:gridSpan w:val="3"/>
            <w:noWrap w:val="0"/>
            <w:vAlign w:val="center"/>
          </w:tcPr>
          <w:p>
            <w:pPr>
              <w:adjustRightInd w:val="0"/>
              <w:snapToGrid w:val="0"/>
              <w:spacing w:line="440" w:lineRule="exact"/>
              <w:rPr>
                <w:rFonts w:hint="eastAsia" w:ascii="宋体" w:hAnsi="宋体" w:cs="宋体"/>
                <w:color w:val="auto"/>
                <w:szCs w:val="21"/>
              </w:rPr>
            </w:pPr>
            <w:r>
              <w:rPr>
                <w:rFonts w:hint="eastAsia" w:ascii="宋体" w:hAnsi="宋体" w:cs="宋体"/>
                <w:b/>
                <w:color w:val="auto"/>
                <w:szCs w:val="21"/>
              </w:rPr>
              <w:t>六、成交结果信息公布与授予合同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25" w:hRule="atLeast"/>
          <w:tblHeader/>
          <w:jc w:val="center"/>
        </w:trPr>
        <w:tc>
          <w:tcPr>
            <w:tcW w:w="785" w:type="dxa"/>
            <w:noWrap w:val="0"/>
            <w:vAlign w:val="center"/>
          </w:tcPr>
          <w:p>
            <w:pPr>
              <w:adjustRightInd w:val="0"/>
              <w:snapToGrid w:val="0"/>
              <w:spacing w:line="440" w:lineRule="exact"/>
              <w:jc w:val="center"/>
              <w:rPr>
                <w:rFonts w:hint="eastAsia" w:ascii="宋体" w:hAnsi="宋体" w:cs="宋体"/>
                <w:color w:val="auto"/>
                <w:szCs w:val="21"/>
              </w:rPr>
            </w:pPr>
            <w:r>
              <w:rPr>
                <w:rFonts w:hint="eastAsia" w:ascii="宋体" w:hAnsi="宋体" w:cs="宋体"/>
                <w:color w:val="auto"/>
                <w:szCs w:val="21"/>
              </w:rPr>
              <w:t>第二章第37.1款、</w:t>
            </w:r>
          </w:p>
        </w:tc>
        <w:tc>
          <w:tcPr>
            <w:tcW w:w="1098" w:type="dxa"/>
            <w:noWrap w:val="0"/>
            <w:vAlign w:val="center"/>
          </w:tcPr>
          <w:p>
            <w:pPr>
              <w:adjustRightInd w:val="0"/>
              <w:snapToGrid w:val="0"/>
              <w:spacing w:line="440" w:lineRule="exact"/>
              <w:rPr>
                <w:rFonts w:hint="eastAsia" w:ascii="宋体" w:hAnsi="宋体" w:cs="宋体"/>
                <w:color w:val="auto"/>
                <w:szCs w:val="21"/>
              </w:rPr>
            </w:pPr>
            <w:r>
              <w:rPr>
                <w:rFonts w:hint="eastAsia" w:ascii="宋体" w:hAnsi="宋体" w:cs="宋体"/>
                <w:color w:val="auto"/>
                <w:szCs w:val="21"/>
              </w:rPr>
              <w:t>财政部门指定的媒体</w:t>
            </w:r>
          </w:p>
        </w:tc>
        <w:tc>
          <w:tcPr>
            <w:tcW w:w="7065" w:type="dxa"/>
            <w:noWrap w:val="0"/>
            <w:vAlign w:val="center"/>
          </w:tcPr>
          <w:p>
            <w:pPr>
              <w:adjustRightInd w:val="0"/>
              <w:snapToGrid w:val="0"/>
              <w:spacing w:line="44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tblHeader/>
          <w:jc w:val="center"/>
        </w:trPr>
        <w:tc>
          <w:tcPr>
            <w:tcW w:w="785" w:type="dxa"/>
            <w:noWrap w:val="0"/>
            <w:vAlign w:val="center"/>
          </w:tcPr>
          <w:p>
            <w:pPr>
              <w:adjustRightInd w:val="0"/>
              <w:snapToGrid w:val="0"/>
              <w:spacing w:line="440" w:lineRule="exact"/>
              <w:jc w:val="center"/>
              <w:rPr>
                <w:rFonts w:hint="eastAsia" w:ascii="宋体" w:hAnsi="宋体" w:cs="宋体"/>
                <w:color w:val="auto"/>
                <w:szCs w:val="21"/>
              </w:rPr>
            </w:pPr>
            <w:r>
              <w:rPr>
                <w:rFonts w:hint="eastAsia" w:ascii="宋体" w:hAnsi="宋体" w:cs="宋体"/>
                <w:color w:val="auto"/>
                <w:szCs w:val="21"/>
              </w:rPr>
              <w:t>第二章第39.3款</w:t>
            </w:r>
          </w:p>
        </w:tc>
        <w:tc>
          <w:tcPr>
            <w:tcW w:w="1098" w:type="dxa"/>
            <w:noWrap w:val="0"/>
            <w:vAlign w:val="center"/>
          </w:tcPr>
          <w:p>
            <w:pPr>
              <w:adjustRightInd w:val="0"/>
              <w:snapToGrid w:val="0"/>
              <w:spacing w:line="440" w:lineRule="exact"/>
              <w:rPr>
                <w:rFonts w:hint="eastAsia" w:ascii="宋体" w:hAnsi="宋体" w:cs="宋体"/>
                <w:color w:val="auto"/>
                <w:szCs w:val="21"/>
              </w:rPr>
            </w:pPr>
            <w:r>
              <w:rPr>
                <w:rFonts w:hint="eastAsia" w:ascii="宋体" w:hAnsi="宋体" w:cs="宋体"/>
                <w:color w:val="auto"/>
                <w:szCs w:val="21"/>
              </w:rPr>
              <w:t>履约担保</w:t>
            </w:r>
          </w:p>
        </w:tc>
        <w:tc>
          <w:tcPr>
            <w:tcW w:w="7065" w:type="dxa"/>
            <w:noWrap w:val="0"/>
            <w:vAlign w:val="center"/>
          </w:tcPr>
          <w:p>
            <w:pPr>
              <w:adjustRightInd w:val="0"/>
              <w:snapToGrid w:val="0"/>
              <w:spacing w:line="440" w:lineRule="exact"/>
              <w:rPr>
                <w:rFonts w:hint="eastAsia" w:ascii="宋体" w:hAnsi="宋体" w:cs="宋体"/>
                <w:color w:val="auto"/>
                <w:szCs w:val="21"/>
              </w:rPr>
            </w:pPr>
            <w:r>
              <w:rPr>
                <w:rFonts w:hint="eastAsia" w:ascii="宋体" w:hAnsi="宋体" w:cs="宋体"/>
                <w:color w:val="auto"/>
                <w:szCs w:val="21"/>
              </w:rPr>
              <w:t>■ 不要求提供</w:t>
            </w:r>
          </w:p>
          <w:p>
            <w:pPr>
              <w:adjustRightInd w:val="0"/>
              <w:snapToGrid w:val="0"/>
              <w:spacing w:line="440" w:lineRule="exact"/>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 xml:space="preserve"> 要求提供</w:t>
            </w:r>
            <w:r>
              <w:rPr>
                <w:rFonts w:hint="eastAsia" w:ascii="宋体" w:hAnsi="宋体" w:cs="宋体"/>
                <w:color w:val="auto"/>
                <w:szCs w:val="21"/>
                <w:lang w:eastAsia="zh-CN"/>
              </w:rPr>
              <w:t>，</w:t>
            </w:r>
            <w:r>
              <w:rPr>
                <w:rFonts w:hint="default" w:ascii="宋体" w:hAnsi="宋体" w:eastAsia="宋体"/>
                <w:color w:val="auto"/>
                <w:szCs w:val="21"/>
                <w:lang w:val="en-US" w:eastAsia="zh-CN"/>
              </w:rPr>
              <w:t>本项目按合同金额的5%设履约保证金，签订合同前交清，校内验收合格后一个月内无息退还；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tblHeader/>
          <w:jc w:val="center"/>
        </w:trPr>
        <w:tc>
          <w:tcPr>
            <w:tcW w:w="8948" w:type="dxa"/>
            <w:gridSpan w:val="3"/>
            <w:noWrap w:val="0"/>
            <w:vAlign w:val="center"/>
          </w:tcPr>
          <w:p>
            <w:pPr>
              <w:adjustRightInd w:val="0"/>
              <w:snapToGrid w:val="0"/>
              <w:spacing w:line="440" w:lineRule="exact"/>
              <w:rPr>
                <w:rFonts w:hint="eastAsia" w:ascii="宋体" w:hAnsi="宋体" w:cs="宋体"/>
                <w:b/>
                <w:color w:val="auto"/>
                <w:szCs w:val="21"/>
              </w:rPr>
            </w:pPr>
            <w:r>
              <w:rPr>
                <w:rFonts w:hint="eastAsia" w:ascii="宋体" w:hAnsi="宋体" w:cs="宋体"/>
                <w:b/>
                <w:color w:val="auto"/>
                <w:szCs w:val="21"/>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tblHeader/>
          <w:jc w:val="center"/>
        </w:trPr>
        <w:tc>
          <w:tcPr>
            <w:tcW w:w="785" w:type="dxa"/>
            <w:noWrap w:val="0"/>
            <w:vAlign w:val="center"/>
          </w:tcPr>
          <w:p>
            <w:pPr>
              <w:adjustRightInd w:val="0"/>
              <w:snapToGrid w:val="0"/>
              <w:spacing w:line="440" w:lineRule="exact"/>
              <w:jc w:val="center"/>
              <w:rPr>
                <w:rFonts w:hint="eastAsia" w:ascii="宋体" w:hAnsi="宋体" w:cs="宋体"/>
                <w:color w:val="auto"/>
                <w:szCs w:val="21"/>
              </w:rPr>
            </w:pPr>
            <w:r>
              <w:rPr>
                <w:rFonts w:hint="eastAsia" w:ascii="宋体" w:hAnsi="宋体" w:cs="宋体"/>
                <w:color w:val="auto"/>
                <w:szCs w:val="21"/>
              </w:rPr>
              <w:t>第二章第41.1款</w:t>
            </w:r>
          </w:p>
        </w:tc>
        <w:tc>
          <w:tcPr>
            <w:tcW w:w="1098" w:type="dxa"/>
            <w:noWrap w:val="0"/>
            <w:vAlign w:val="center"/>
          </w:tcPr>
          <w:p>
            <w:pPr>
              <w:adjustRightInd w:val="0"/>
              <w:snapToGrid w:val="0"/>
              <w:spacing w:line="440" w:lineRule="exact"/>
              <w:rPr>
                <w:rFonts w:hint="eastAsia" w:ascii="宋体" w:hAnsi="宋体" w:cs="宋体"/>
                <w:color w:val="auto"/>
                <w:szCs w:val="21"/>
              </w:rPr>
            </w:pPr>
            <w:r>
              <w:rPr>
                <w:rFonts w:hint="eastAsia" w:ascii="宋体" w:hAnsi="宋体" w:cs="宋体"/>
                <w:color w:val="auto"/>
                <w:szCs w:val="21"/>
              </w:rPr>
              <w:t>采购代理服务费</w:t>
            </w:r>
          </w:p>
        </w:tc>
        <w:tc>
          <w:tcPr>
            <w:tcW w:w="7065" w:type="dxa"/>
            <w:noWrap w:val="0"/>
            <w:vAlign w:val="center"/>
          </w:tcPr>
          <w:p>
            <w:pPr>
              <w:adjustRightInd w:val="0"/>
              <w:snapToGrid w:val="0"/>
              <w:spacing w:line="440" w:lineRule="exact"/>
              <w:rPr>
                <w:rFonts w:hint="eastAsia" w:ascii="宋体" w:hAnsi="宋体" w:cs="宋体"/>
                <w:color w:val="auto"/>
                <w:szCs w:val="21"/>
                <w:u w:val="single"/>
              </w:rPr>
            </w:pPr>
            <w:r>
              <w:rPr>
                <w:rFonts w:hint="eastAsia" w:ascii="宋体" w:hAnsi="宋体" w:cs="宋体"/>
                <w:b/>
                <w:bCs/>
                <w:color w:val="auto"/>
              </w:rPr>
              <w:t>采购代理服务费由中标（成交）供应商支付，采购代理服务费按委托代理合同的规定收取</w:t>
            </w:r>
            <w:r>
              <w:rPr>
                <w:rFonts w:hint="eastAsia" w:ascii="宋体" w:hAnsi="宋体" w:cs="宋体"/>
                <w:b/>
                <w:bCs/>
                <w:color w:val="auto"/>
                <w:lang w:val="en-US" w:eastAsia="zh-CN"/>
              </w:rPr>
              <w:t>代理费</w:t>
            </w:r>
            <w:r>
              <w:rPr>
                <w:rFonts w:hint="eastAsia" w:ascii="宋体" w:hAnsi="宋体" w:cs="宋体"/>
                <w:b/>
                <w:bCs/>
                <w:color w:val="auto"/>
              </w:rPr>
              <w:t>，在领取成交通知书时一次付清。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13" w:hRule="atLeast"/>
          <w:tblHeader/>
          <w:jc w:val="center"/>
        </w:trPr>
        <w:tc>
          <w:tcPr>
            <w:tcW w:w="785" w:type="dxa"/>
            <w:noWrap w:val="0"/>
            <w:vAlign w:val="center"/>
          </w:tcPr>
          <w:p>
            <w:pPr>
              <w:adjustRightInd w:val="0"/>
              <w:snapToGrid w:val="0"/>
              <w:spacing w:line="440" w:lineRule="exact"/>
              <w:jc w:val="center"/>
              <w:rPr>
                <w:rFonts w:hint="eastAsia" w:ascii="宋体" w:hAnsi="宋体" w:cs="宋体"/>
                <w:color w:val="auto"/>
                <w:szCs w:val="21"/>
              </w:rPr>
            </w:pPr>
            <w:r>
              <w:rPr>
                <w:rFonts w:hint="eastAsia" w:ascii="宋体" w:hAnsi="宋体" w:cs="宋体"/>
                <w:color w:val="auto"/>
                <w:szCs w:val="21"/>
              </w:rPr>
              <w:t>第二章第42.1款</w:t>
            </w:r>
          </w:p>
        </w:tc>
        <w:tc>
          <w:tcPr>
            <w:tcW w:w="1098" w:type="dxa"/>
            <w:noWrap w:val="0"/>
            <w:vAlign w:val="center"/>
          </w:tcPr>
          <w:p>
            <w:pPr>
              <w:adjustRightInd w:val="0"/>
              <w:snapToGrid w:val="0"/>
              <w:spacing w:line="440" w:lineRule="exact"/>
              <w:rPr>
                <w:rFonts w:hint="eastAsia" w:ascii="宋体" w:hAnsi="宋体" w:cs="宋体"/>
                <w:color w:val="auto"/>
                <w:szCs w:val="21"/>
              </w:rPr>
            </w:pPr>
            <w:r>
              <w:rPr>
                <w:rFonts w:hint="eastAsia" w:ascii="宋体" w:hAnsi="宋体" w:cs="宋体"/>
                <w:color w:val="auto"/>
                <w:szCs w:val="21"/>
              </w:rPr>
              <w:t>其他规定</w:t>
            </w:r>
          </w:p>
        </w:tc>
        <w:tc>
          <w:tcPr>
            <w:tcW w:w="7065" w:type="dxa"/>
            <w:noWrap w:val="0"/>
            <w:vAlign w:val="center"/>
          </w:tcPr>
          <w:p>
            <w:pPr>
              <w:adjustRightInd w:val="0"/>
              <w:snapToGrid w:val="0"/>
              <w:spacing w:line="440" w:lineRule="exact"/>
              <w:rPr>
                <w:rFonts w:hint="eastAsia" w:ascii="宋体" w:hAnsi="宋体" w:cs="宋体"/>
                <w:color w:val="auto"/>
                <w:szCs w:val="21"/>
              </w:rPr>
            </w:pPr>
            <w:r>
              <w:rPr>
                <w:rFonts w:hint="eastAsia" w:ascii="宋体" w:hAnsi="宋体"/>
                <w:b/>
                <w:color w:val="auto"/>
              </w:rPr>
              <w:t>身份验证：</w:t>
            </w:r>
            <w:r>
              <w:rPr>
                <w:rFonts w:hint="eastAsia"/>
                <w:b/>
                <w:bCs/>
                <w:color w:val="auto"/>
              </w:rPr>
              <w:t>届时请投标单位的法定代表人或委托代理人持</w:t>
            </w:r>
            <w:r>
              <w:rPr>
                <w:rFonts w:hint="eastAsia" w:ascii="宋体" w:hAnsi="宋体"/>
                <w:b/>
                <w:bCs/>
                <w:color w:val="auto"/>
                <w:szCs w:val="21"/>
              </w:rPr>
              <w:t>法人代表身份证明原件或授权委托书原件及</w:t>
            </w:r>
            <w:r>
              <w:rPr>
                <w:rFonts w:hint="eastAsia"/>
                <w:b/>
                <w:bCs/>
                <w:color w:val="auto"/>
              </w:rPr>
              <w:t>本人身份证原件出席开标会议并签名；否则，其投标将被拒绝</w:t>
            </w:r>
            <w:r>
              <w:rPr>
                <w:rFonts w:hint="eastAsia"/>
                <w:b/>
                <w:color w:val="auto"/>
              </w:rPr>
              <w:t>。</w:t>
            </w:r>
          </w:p>
          <w:p>
            <w:pPr>
              <w:adjustRightInd w:val="0"/>
              <w:snapToGrid w:val="0"/>
              <w:spacing w:line="440" w:lineRule="exact"/>
              <w:rPr>
                <w:rFonts w:hint="eastAsia" w:ascii="宋体" w:hAnsi="宋体" w:cs="宋体"/>
                <w:color w:val="auto"/>
                <w:szCs w:val="21"/>
              </w:rPr>
            </w:pPr>
            <w:r>
              <w:rPr>
                <w:rFonts w:hint="eastAsia" w:ascii="宋体" w:hAnsi="宋体" w:cs="宋体"/>
                <w:color w:val="auto"/>
                <w:szCs w:val="21"/>
              </w:rPr>
              <w:t>对列入失信被执行人、重大税收违法案件当事人名单、采购严重违法失信行为记录名单将拒绝其参与采购活动。两个以上的自然人、法人或者其他组织组成一个联合体，以一个供应商的身份共同参加采购活动的，应当对所有联合体成员进行信用记录查询，联合体成员存在不良信用记录的，视同联合体存在不良信用记录。</w:t>
            </w:r>
          </w:p>
          <w:p>
            <w:pPr>
              <w:adjustRightInd w:val="0"/>
              <w:snapToGrid w:val="0"/>
              <w:spacing w:line="440" w:lineRule="exact"/>
              <w:rPr>
                <w:rFonts w:hint="eastAsia" w:ascii="宋体" w:hAnsi="宋体" w:cs="宋体"/>
                <w:color w:val="auto"/>
                <w:szCs w:val="21"/>
              </w:rPr>
            </w:pPr>
            <w:r>
              <w:rPr>
                <w:rFonts w:hint="eastAsia" w:ascii="宋体" w:hAnsi="宋体" w:cs="宋体"/>
                <w:color w:val="auto"/>
                <w:szCs w:val="21"/>
              </w:rPr>
              <w:t>1、信用信息查询的查询渠道：“信用中国”网站（www.creditchina.gov.cn）、</w:t>
            </w:r>
          </w:p>
          <w:p>
            <w:pPr>
              <w:adjustRightInd w:val="0"/>
              <w:snapToGrid w:val="0"/>
              <w:spacing w:line="440" w:lineRule="exact"/>
              <w:rPr>
                <w:rFonts w:hint="eastAsia" w:ascii="宋体" w:hAnsi="宋体" w:cs="宋体"/>
                <w:color w:val="auto"/>
                <w:szCs w:val="21"/>
              </w:rPr>
            </w:pPr>
            <w:r>
              <w:rPr>
                <w:rFonts w:hint="eastAsia" w:ascii="宋体" w:hAnsi="宋体" w:cs="宋体"/>
                <w:color w:val="auto"/>
                <w:szCs w:val="21"/>
              </w:rPr>
              <w:t>2、信用信息查询的截止时点：至本项目投标截止时间止（或至本项目响应文件提交截止时间止）。</w:t>
            </w:r>
          </w:p>
          <w:p>
            <w:pPr>
              <w:adjustRightInd w:val="0"/>
              <w:snapToGrid w:val="0"/>
              <w:spacing w:line="440" w:lineRule="exact"/>
              <w:rPr>
                <w:rFonts w:hint="eastAsia" w:ascii="宋体" w:hAnsi="宋体" w:cs="宋体"/>
                <w:color w:val="auto"/>
                <w:szCs w:val="21"/>
              </w:rPr>
            </w:pPr>
            <w:r>
              <w:rPr>
                <w:rFonts w:hint="eastAsia" w:ascii="宋体" w:hAnsi="宋体" w:cs="宋体"/>
                <w:color w:val="auto"/>
                <w:szCs w:val="21"/>
              </w:rPr>
              <w:t>3、信用信息查询记录证据留存的具体方式：查询记录的网页打印件。</w:t>
            </w:r>
          </w:p>
          <w:p>
            <w:pPr>
              <w:adjustRightInd w:val="0"/>
              <w:snapToGrid w:val="0"/>
              <w:spacing w:line="440" w:lineRule="exact"/>
              <w:rPr>
                <w:rFonts w:hint="eastAsia" w:ascii="宋体" w:hAnsi="宋体" w:cs="宋体"/>
                <w:color w:val="auto"/>
                <w:szCs w:val="21"/>
              </w:rPr>
            </w:pPr>
            <w:r>
              <w:rPr>
                <w:rFonts w:hint="eastAsia" w:ascii="宋体" w:hAnsi="宋体" w:cs="宋体"/>
                <w:color w:val="auto"/>
                <w:szCs w:val="21"/>
              </w:rPr>
              <w:t>4、信用信息的使用规则：对列入失信被执行人、重大税收违法案件当事人名单、采购严重违法失信行为记录名单的供应商，将拒绝其参与采购活动。</w:t>
            </w:r>
          </w:p>
          <w:p>
            <w:pPr>
              <w:adjustRightInd w:val="0"/>
              <w:snapToGrid w:val="0"/>
              <w:spacing w:line="440" w:lineRule="exact"/>
              <w:rPr>
                <w:rFonts w:hint="eastAsia" w:ascii="宋体" w:hAnsi="宋体" w:cs="宋体"/>
                <w:color w:val="auto"/>
                <w:szCs w:val="21"/>
              </w:rPr>
            </w:pPr>
            <w:r>
              <w:rPr>
                <w:rFonts w:hint="eastAsia" w:ascii="宋体" w:hAnsi="宋体" w:cs="宋体"/>
                <w:color w:val="auto"/>
                <w:szCs w:val="21"/>
              </w:rPr>
              <w:t>5、供应商应保持公开、公平的原则进行投标，如磋商小组认为供应商提交的报价有恶意中标的嫌疑，磋商小组有权让供应商提交成本价的组成，如在规定时间内供应商不能提交成本价的组成或提交的成本价明显低于市场平均值，磋商小组有权认为供应商属于恶性竞争，有权认定其为无效响应。</w:t>
            </w:r>
          </w:p>
          <w:p>
            <w:pPr>
              <w:adjustRightInd w:val="0"/>
              <w:snapToGrid w:val="0"/>
              <w:spacing w:line="440" w:lineRule="exact"/>
              <w:rPr>
                <w:rFonts w:hint="eastAsia"/>
                <w:color w:val="auto"/>
              </w:rPr>
            </w:pPr>
            <w:r>
              <w:rPr>
                <w:rFonts w:hint="eastAsia" w:ascii="宋体" w:hAnsi="宋体"/>
                <w:color w:val="auto"/>
                <w:szCs w:val="21"/>
              </w:rPr>
              <w:t>注：对列入失信被执行人、重大税收违法案件当事人名单、采购严重违法失信行为记录名单的查询由磋商小组查询，供应商可不提供。</w:t>
            </w:r>
          </w:p>
        </w:tc>
      </w:tr>
    </w:tbl>
    <w:p>
      <w:pPr>
        <w:rPr>
          <w:rFonts w:hint="eastAsia" w:ascii="黑体" w:eastAsia="黑体"/>
          <w:color w:val="auto"/>
          <w:sz w:val="24"/>
        </w:rPr>
      </w:pPr>
    </w:p>
    <w:p>
      <w:pPr>
        <w:rPr>
          <w:rFonts w:hint="eastAsia" w:ascii="黑体" w:eastAsia="黑体"/>
          <w:color w:val="auto"/>
          <w:sz w:val="24"/>
        </w:rPr>
      </w:pPr>
    </w:p>
    <w:p>
      <w:pPr>
        <w:rPr>
          <w:rFonts w:hint="eastAsia" w:ascii="黑体" w:eastAsia="黑体"/>
          <w:color w:val="auto"/>
          <w:sz w:val="24"/>
        </w:rPr>
      </w:pPr>
    </w:p>
    <w:p>
      <w:pPr>
        <w:pStyle w:val="2"/>
        <w:rPr>
          <w:rFonts w:hint="eastAsia" w:ascii="黑体" w:eastAsia="黑体"/>
          <w:color w:val="auto"/>
          <w:sz w:val="24"/>
        </w:rPr>
      </w:pPr>
    </w:p>
    <w:p>
      <w:pPr>
        <w:pStyle w:val="3"/>
        <w:rPr>
          <w:rFonts w:hint="eastAsia" w:ascii="黑体" w:eastAsia="黑体"/>
          <w:color w:val="auto"/>
          <w:sz w:val="24"/>
        </w:rPr>
      </w:pPr>
    </w:p>
    <w:p>
      <w:pPr>
        <w:pStyle w:val="4"/>
        <w:rPr>
          <w:rFonts w:hint="eastAsia"/>
          <w:color w:val="auto"/>
        </w:rPr>
      </w:pPr>
    </w:p>
    <w:p>
      <w:pPr>
        <w:rPr>
          <w:rFonts w:hint="eastAsia" w:ascii="黑体" w:eastAsia="黑体"/>
          <w:color w:val="auto"/>
          <w:sz w:val="24"/>
        </w:rPr>
      </w:pPr>
    </w:p>
    <w:p>
      <w:pPr>
        <w:adjustRightInd w:val="0"/>
        <w:snapToGrid w:val="0"/>
        <w:spacing w:line="360" w:lineRule="auto"/>
        <w:rPr>
          <w:rFonts w:hint="eastAsia"/>
          <w:color w:val="auto"/>
        </w:rPr>
      </w:pPr>
      <w:r>
        <w:rPr>
          <w:rFonts w:hint="eastAsia" w:ascii="宋体" w:hAnsi="宋体"/>
          <w:b/>
          <w:bCs/>
          <w:color w:val="auto"/>
          <w:szCs w:val="21"/>
        </w:rPr>
        <w:t>附页3</w:t>
      </w:r>
    </w:p>
    <w:p>
      <w:pPr>
        <w:adjustRightInd w:val="0"/>
        <w:snapToGrid w:val="0"/>
        <w:spacing w:line="360" w:lineRule="auto"/>
        <w:jc w:val="center"/>
        <w:rPr>
          <w:rFonts w:hint="eastAsia" w:ascii="宋体" w:hAnsi="宋体" w:cs="宋体"/>
          <w:b/>
          <w:color w:val="auto"/>
          <w:kern w:val="0"/>
          <w:sz w:val="28"/>
          <w:szCs w:val="28"/>
        </w:rPr>
      </w:pPr>
      <w:r>
        <w:rPr>
          <w:rFonts w:hint="eastAsia" w:ascii="宋体" w:hAnsi="宋体" w:cs="宋体"/>
          <w:b/>
          <w:color w:val="auto"/>
          <w:kern w:val="0"/>
          <w:sz w:val="28"/>
          <w:szCs w:val="28"/>
        </w:rPr>
        <w:t>采购履约担保函</w:t>
      </w:r>
    </w:p>
    <w:p>
      <w:pPr>
        <w:adjustRightInd w:val="0"/>
        <w:snapToGrid w:val="0"/>
        <w:spacing w:line="360" w:lineRule="auto"/>
        <w:ind w:firstLine="8651" w:firstLineChars="4100"/>
        <w:rPr>
          <w:rFonts w:hint="eastAsia" w:ascii="宋体" w:hAnsi="宋体" w:cs="宋体"/>
          <w:color w:val="auto"/>
          <w:kern w:val="0"/>
          <w:szCs w:val="21"/>
        </w:rPr>
      </w:pPr>
    </w:p>
    <w:p>
      <w:pPr>
        <w:adjustRightInd w:val="0"/>
        <w:snapToGrid w:val="0"/>
        <w:spacing w:line="360" w:lineRule="auto"/>
        <w:rPr>
          <w:rFonts w:hint="eastAsia" w:ascii="宋体" w:hAnsi="宋体" w:cs="宋体"/>
          <w:b/>
          <w:color w:val="auto"/>
          <w:kern w:val="0"/>
          <w:szCs w:val="21"/>
        </w:rPr>
      </w:pPr>
      <w:r>
        <w:rPr>
          <w:rFonts w:hint="eastAsia" w:ascii="宋体" w:hAnsi="宋体" w:cs="宋体"/>
          <w:color w:val="auto"/>
          <w:kern w:val="0"/>
          <w:szCs w:val="21"/>
        </w:rPr>
        <w:t>编号：</w:t>
      </w:r>
      <w:r>
        <w:rPr>
          <w:rFonts w:hint="eastAsia" w:ascii="宋体" w:hAnsi="宋体" w:cs="宋体"/>
          <w:color w:val="auto"/>
          <w:kern w:val="0"/>
          <w:szCs w:val="21"/>
          <w:u w:val="single"/>
        </w:rPr>
        <w:t xml:space="preserve">              </w:t>
      </w:r>
    </w:p>
    <w:p>
      <w:pPr>
        <w:adjustRightInd w:val="0"/>
        <w:snapToGrid w:val="0"/>
        <w:spacing w:line="360" w:lineRule="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（采购人）： </w:t>
      </w:r>
    </w:p>
    <w:p>
      <w:pPr>
        <w:adjustRightInd w:val="0"/>
        <w:snapToGrid w:val="0"/>
        <w:spacing w:line="360" w:lineRule="auto"/>
        <w:ind w:firstLine="422" w:firstLineChars="200"/>
        <w:rPr>
          <w:rFonts w:hint="eastAsia" w:ascii="宋体" w:hAnsi="宋体" w:cs="宋体"/>
          <w:color w:val="auto"/>
          <w:kern w:val="0"/>
          <w:szCs w:val="21"/>
        </w:rPr>
      </w:pPr>
      <w:r>
        <w:rPr>
          <w:rFonts w:hint="eastAsia" w:ascii="宋体" w:hAnsi="宋体" w:cs="宋体"/>
          <w:color w:val="auto"/>
          <w:kern w:val="0"/>
          <w:szCs w:val="21"/>
        </w:rPr>
        <w:t>鉴于你方与</w:t>
      </w:r>
      <w:r>
        <w:rPr>
          <w:rFonts w:hint="eastAsia" w:ascii="宋体" w:hAnsi="宋体" w:cs="宋体"/>
          <w:color w:val="auto"/>
          <w:kern w:val="0"/>
          <w:szCs w:val="21"/>
          <w:u w:val="single"/>
        </w:rPr>
        <w:t xml:space="preserve">                   </w:t>
      </w:r>
      <w:r>
        <w:rPr>
          <w:rFonts w:hint="eastAsia" w:ascii="宋体" w:hAnsi="宋体" w:cs="宋体"/>
          <w:color w:val="auto"/>
          <w:kern w:val="0"/>
          <w:szCs w:val="21"/>
        </w:rPr>
        <w:t>（以下简称供应商）于</w:t>
      </w: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日签定编号为</w:t>
      </w:r>
      <w:r>
        <w:rPr>
          <w:rFonts w:hint="eastAsia" w:ascii="宋体" w:hAnsi="宋体" w:cs="宋体"/>
          <w:color w:val="auto"/>
          <w:kern w:val="0"/>
          <w:szCs w:val="21"/>
          <w:u w:val="single"/>
        </w:rPr>
        <w:t xml:space="preserve">           </w:t>
      </w:r>
      <w:r>
        <w:rPr>
          <w:rFonts w:hint="eastAsia" w:ascii="宋体" w:hAnsi="宋体" w:cs="宋体"/>
          <w:color w:val="auto"/>
          <w:kern w:val="0"/>
          <w:szCs w:val="21"/>
        </w:rPr>
        <w:t>的《</w:t>
      </w:r>
      <w:r>
        <w:rPr>
          <w:rFonts w:hint="eastAsia" w:ascii="宋体" w:hAnsi="宋体" w:cs="宋体"/>
          <w:color w:val="auto"/>
          <w:kern w:val="0"/>
          <w:szCs w:val="21"/>
          <w:u w:val="single"/>
        </w:rPr>
        <w:t xml:space="preserve">            </w:t>
      </w:r>
      <w:r>
        <w:rPr>
          <w:rFonts w:hint="eastAsia" w:ascii="宋体" w:hAnsi="宋体" w:cs="宋体"/>
          <w:color w:val="auto"/>
          <w:kern w:val="0"/>
          <w:szCs w:val="21"/>
        </w:rPr>
        <w:t>采购合同》（以下简称主合同），且依据该合同的约定，供应商应在</w:t>
      </w: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日前向你方交纳履约保证金，且可以履约担保函的形式交纳履约保证金。应供应商的申请，我方以保证的方式向你方提供如下履约保证金担保：</w:t>
      </w:r>
    </w:p>
    <w:p>
      <w:pPr>
        <w:adjustRightInd w:val="0"/>
        <w:snapToGrid w:val="0"/>
        <w:spacing w:line="360" w:lineRule="auto"/>
        <w:ind w:firstLine="422" w:firstLineChars="200"/>
        <w:rPr>
          <w:rFonts w:hint="eastAsia" w:ascii="宋体" w:hAnsi="宋体" w:cs="宋体"/>
          <w:b/>
          <w:color w:val="auto"/>
          <w:kern w:val="0"/>
          <w:szCs w:val="21"/>
        </w:rPr>
      </w:pPr>
      <w:r>
        <w:rPr>
          <w:rFonts w:hint="eastAsia" w:ascii="宋体" w:hAnsi="宋体" w:cs="宋体"/>
          <w:b/>
          <w:color w:val="auto"/>
          <w:kern w:val="0"/>
          <w:szCs w:val="21"/>
        </w:rPr>
        <w:t>一、保证责任的情形及保证金额</w:t>
      </w:r>
    </w:p>
    <w:p>
      <w:pPr>
        <w:adjustRightInd w:val="0"/>
        <w:snapToGrid w:val="0"/>
        <w:spacing w:line="360" w:lineRule="auto"/>
        <w:ind w:firstLine="422" w:firstLineChars="200"/>
        <w:rPr>
          <w:rFonts w:hint="eastAsia" w:ascii="宋体" w:hAnsi="宋体" w:cs="宋体"/>
          <w:color w:val="auto"/>
          <w:kern w:val="0"/>
          <w:szCs w:val="21"/>
        </w:rPr>
      </w:pPr>
      <w:r>
        <w:rPr>
          <w:rFonts w:hint="eastAsia" w:ascii="宋体" w:hAnsi="宋体" w:cs="宋体"/>
          <w:color w:val="auto"/>
          <w:kern w:val="0"/>
          <w:szCs w:val="21"/>
        </w:rPr>
        <w:t>（一）在供应商出现下列情形之一时，我方承担保证责任：</w:t>
      </w:r>
    </w:p>
    <w:p>
      <w:pPr>
        <w:adjustRightInd w:val="0"/>
        <w:snapToGrid w:val="0"/>
        <w:spacing w:line="360" w:lineRule="auto"/>
        <w:ind w:firstLine="422" w:firstLineChars="200"/>
        <w:rPr>
          <w:rFonts w:hint="eastAsia" w:ascii="宋体" w:hAnsi="宋体" w:cs="宋体"/>
          <w:color w:val="auto"/>
          <w:kern w:val="0"/>
          <w:szCs w:val="21"/>
        </w:rPr>
      </w:pPr>
      <w:r>
        <w:rPr>
          <w:rFonts w:hint="eastAsia" w:ascii="宋体" w:hAnsi="宋体" w:cs="宋体"/>
          <w:color w:val="auto"/>
          <w:kern w:val="0"/>
          <w:szCs w:val="21"/>
        </w:rPr>
        <w:t>1．将中标项目转让给他人，或者在投标文件中未说明，且未经采购人同意，将中标项目分包给他人的；</w:t>
      </w:r>
    </w:p>
    <w:p>
      <w:pPr>
        <w:adjustRightInd w:val="0"/>
        <w:snapToGrid w:val="0"/>
        <w:spacing w:line="360" w:lineRule="auto"/>
        <w:ind w:firstLine="422" w:firstLineChars="200"/>
        <w:rPr>
          <w:rFonts w:hint="eastAsia" w:ascii="宋体" w:hAnsi="宋体" w:cs="宋体"/>
          <w:color w:val="auto"/>
          <w:kern w:val="0"/>
          <w:szCs w:val="21"/>
        </w:rPr>
      </w:pPr>
      <w:r>
        <w:rPr>
          <w:rFonts w:hint="eastAsia" w:ascii="宋体" w:hAnsi="宋体" w:cs="宋体"/>
          <w:color w:val="auto"/>
          <w:kern w:val="0"/>
          <w:szCs w:val="21"/>
        </w:rPr>
        <w:t xml:space="preserve">2．主合同约定的应当缴纳履约保证金的情形: </w:t>
      </w:r>
    </w:p>
    <w:p>
      <w:pPr>
        <w:adjustRightInd w:val="0"/>
        <w:snapToGrid w:val="0"/>
        <w:spacing w:line="360" w:lineRule="auto"/>
        <w:ind w:firstLine="422" w:firstLineChars="200"/>
        <w:rPr>
          <w:rFonts w:hint="eastAsia" w:ascii="宋体" w:hAnsi="宋体" w:cs="宋体"/>
          <w:b/>
          <w:color w:val="auto"/>
          <w:kern w:val="0"/>
          <w:szCs w:val="21"/>
        </w:rPr>
      </w:pPr>
      <w:r>
        <w:rPr>
          <w:rFonts w:hint="eastAsia" w:ascii="宋体" w:hAnsi="宋体" w:cs="宋体"/>
          <w:color w:val="auto"/>
          <w:kern w:val="0"/>
          <w:szCs w:val="21"/>
        </w:rPr>
        <w:t xml:space="preserve">（1）未按主合同约定的质量、数量和期限供应货物/提供服务/完成工程的； </w:t>
      </w:r>
    </w:p>
    <w:p>
      <w:pPr>
        <w:adjustRightInd w:val="0"/>
        <w:snapToGrid w:val="0"/>
        <w:spacing w:line="360" w:lineRule="auto"/>
        <w:ind w:firstLine="422" w:firstLineChars="200"/>
        <w:rPr>
          <w:rFonts w:hint="eastAsia" w:ascii="宋体" w:hAnsi="宋体" w:cs="宋体"/>
          <w:color w:val="auto"/>
          <w:kern w:val="0"/>
          <w:szCs w:val="21"/>
          <w:u w:val="single"/>
        </w:rPr>
      </w:pPr>
      <w:r>
        <w:rPr>
          <w:rFonts w:hint="eastAsia" w:ascii="宋体" w:hAnsi="宋体" w:cs="宋体"/>
          <w:color w:val="auto"/>
          <w:kern w:val="0"/>
          <w:szCs w:val="21"/>
        </w:rPr>
        <w:t>（2）</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adjustRightInd w:val="0"/>
        <w:snapToGrid w:val="0"/>
        <w:spacing w:line="360" w:lineRule="auto"/>
        <w:ind w:firstLine="422" w:firstLineChars="200"/>
        <w:rPr>
          <w:rFonts w:hint="eastAsia" w:ascii="宋体" w:hAnsi="宋体" w:cs="宋体"/>
          <w:color w:val="auto"/>
          <w:kern w:val="0"/>
          <w:szCs w:val="21"/>
        </w:rPr>
      </w:pPr>
      <w:r>
        <w:rPr>
          <w:rFonts w:hint="eastAsia" w:ascii="宋体" w:hAnsi="宋体" w:cs="宋体"/>
          <w:color w:val="auto"/>
          <w:kern w:val="0"/>
          <w:szCs w:val="21"/>
        </w:rPr>
        <w:t>（二）我方的保证范围是主合同约定的合同价款总额的</w:t>
      </w:r>
      <w:r>
        <w:rPr>
          <w:rFonts w:hint="eastAsia" w:ascii="宋体" w:hAnsi="宋体" w:cs="宋体"/>
          <w:color w:val="auto"/>
          <w:kern w:val="0"/>
          <w:szCs w:val="21"/>
          <w:u w:val="single"/>
        </w:rPr>
        <w:t xml:space="preserve"> 　 </w:t>
      </w:r>
      <w:r>
        <w:rPr>
          <w:rFonts w:hint="eastAsia" w:ascii="宋体" w:hAnsi="宋体" w:cs="宋体"/>
          <w:color w:val="auto"/>
          <w:kern w:val="0"/>
          <w:szCs w:val="21"/>
        </w:rPr>
        <w:t>%数额为</w:t>
      </w:r>
      <w:r>
        <w:rPr>
          <w:rFonts w:hint="eastAsia" w:ascii="宋体" w:hAnsi="宋体" w:cs="宋体"/>
          <w:color w:val="auto"/>
          <w:kern w:val="0"/>
          <w:szCs w:val="21"/>
          <w:u w:val="single"/>
        </w:rPr>
        <w:t xml:space="preserve">     </w:t>
      </w:r>
      <w:r>
        <w:rPr>
          <w:rFonts w:hint="eastAsia" w:ascii="宋体" w:hAnsi="宋体" w:cs="宋体"/>
          <w:color w:val="auto"/>
          <w:kern w:val="0"/>
          <w:szCs w:val="21"/>
        </w:rPr>
        <w:t>元（大写</w:t>
      </w:r>
      <w:r>
        <w:rPr>
          <w:rFonts w:hint="eastAsia" w:ascii="宋体" w:hAnsi="宋体" w:cs="宋体"/>
          <w:color w:val="auto"/>
          <w:kern w:val="0"/>
          <w:szCs w:val="21"/>
          <w:u w:val="single"/>
        </w:rPr>
        <w:t xml:space="preserve">         </w:t>
      </w:r>
      <w:r>
        <w:rPr>
          <w:rFonts w:hint="eastAsia" w:ascii="宋体" w:hAnsi="宋体" w:cs="宋体"/>
          <w:color w:val="auto"/>
          <w:kern w:val="0"/>
          <w:szCs w:val="21"/>
        </w:rPr>
        <w:t>），币种为</w:t>
      </w:r>
      <w:r>
        <w:rPr>
          <w:rFonts w:hint="eastAsia" w:ascii="宋体" w:hAnsi="宋体" w:cs="宋体"/>
          <w:color w:val="auto"/>
          <w:kern w:val="0"/>
          <w:szCs w:val="21"/>
          <w:u w:val="single"/>
        </w:rPr>
        <w:t xml:space="preserve">    人民币   </w:t>
      </w:r>
      <w:r>
        <w:rPr>
          <w:rFonts w:hint="eastAsia" w:ascii="宋体" w:hAnsi="宋体" w:cs="宋体"/>
          <w:color w:val="auto"/>
          <w:kern w:val="0"/>
          <w:szCs w:val="21"/>
        </w:rPr>
        <w:t>。（即主合同履约保证金金额）</w:t>
      </w:r>
    </w:p>
    <w:p>
      <w:pPr>
        <w:adjustRightInd w:val="0"/>
        <w:snapToGrid w:val="0"/>
        <w:spacing w:line="360" w:lineRule="auto"/>
        <w:ind w:firstLine="422" w:firstLineChars="200"/>
        <w:rPr>
          <w:rFonts w:hint="eastAsia" w:ascii="宋体" w:hAnsi="宋体" w:cs="宋体"/>
          <w:b/>
          <w:color w:val="auto"/>
          <w:kern w:val="0"/>
          <w:szCs w:val="21"/>
        </w:rPr>
      </w:pPr>
      <w:r>
        <w:rPr>
          <w:rFonts w:hint="eastAsia" w:ascii="宋体" w:hAnsi="宋体" w:cs="宋体"/>
          <w:b/>
          <w:color w:val="auto"/>
          <w:kern w:val="0"/>
          <w:szCs w:val="21"/>
        </w:rPr>
        <w:t xml:space="preserve">二、保证的方式及保证期间 </w:t>
      </w:r>
    </w:p>
    <w:p>
      <w:pPr>
        <w:adjustRightInd w:val="0"/>
        <w:snapToGrid w:val="0"/>
        <w:spacing w:line="360" w:lineRule="auto"/>
        <w:ind w:firstLine="422" w:firstLineChars="200"/>
        <w:rPr>
          <w:rFonts w:hint="eastAsia" w:ascii="宋体" w:hAnsi="宋体" w:cs="宋体"/>
          <w:color w:val="auto"/>
          <w:kern w:val="0"/>
          <w:szCs w:val="21"/>
        </w:rPr>
      </w:pPr>
      <w:r>
        <w:rPr>
          <w:rFonts w:hint="eastAsia" w:ascii="宋体" w:hAnsi="宋体" w:cs="宋体"/>
          <w:color w:val="auto"/>
          <w:kern w:val="0"/>
          <w:szCs w:val="21"/>
        </w:rPr>
        <w:t xml:space="preserve">我方保证的方式为：连带责任保证。 </w:t>
      </w:r>
    </w:p>
    <w:p>
      <w:pPr>
        <w:adjustRightInd w:val="0"/>
        <w:snapToGrid w:val="0"/>
        <w:spacing w:line="360" w:lineRule="auto"/>
        <w:ind w:firstLine="422" w:firstLineChars="200"/>
        <w:rPr>
          <w:rFonts w:hint="eastAsia" w:ascii="宋体" w:hAnsi="宋体" w:cs="宋体"/>
          <w:color w:val="auto"/>
          <w:kern w:val="0"/>
          <w:szCs w:val="21"/>
        </w:rPr>
      </w:pPr>
      <w:r>
        <w:rPr>
          <w:rFonts w:hint="eastAsia" w:ascii="宋体" w:hAnsi="宋体" w:cs="宋体"/>
          <w:color w:val="auto"/>
          <w:kern w:val="0"/>
          <w:szCs w:val="21"/>
        </w:rPr>
        <w:t>我方保证的期间为：自本合同生效之日起至供应商按照主合同约定的供货/完工期限届满后</w:t>
      </w:r>
      <w:r>
        <w:rPr>
          <w:rFonts w:hint="eastAsia" w:ascii="宋体" w:hAnsi="宋体" w:cs="宋体"/>
          <w:color w:val="auto"/>
          <w:kern w:val="0"/>
          <w:szCs w:val="21"/>
          <w:u w:val="single"/>
        </w:rPr>
        <w:t xml:space="preserve">    </w:t>
      </w:r>
      <w:r>
        <w:rPr>
          <w:rFonts w:hint="eastAsia" w:ascii="宋体" w:hAnsi="宋体" w:cs="宋体"/>
          <w:color w:val="auto"/>
          <w:kern w:val="0"/>
          <w:szCs w:val="21"/>
        </w:rPr>
        <w:t>日内。</w:t>
      </w:r>
    </w:p>
    <w:p>
      <w:pPr>
        <w:adjustRightInd w:val="0"/>
        <w:snapToGrid w:val="0"/>
        <w:spacing w:line="360" w:lineRule="auto"/>
        <w:ind w:firstLine="422" w:firstLineChars="200"/>
        <w:rPr>
          <w:rFonts w:hint="eastAsia" w:ascii="宋体" w:hAnsi="宋体" w:cs="宋体"/>
          <w:color w:val="auto"/>
          <w:kern w:val="0"/>
          <w:szCs w:val="21"/>
        </w:rPr>
      </w:pPr>
      <w:r>
        <w:rPr>
          <w:rFonts w:hint="eastAsia" w:ascii="宋体" w:hAnsi="宋体" w:cs="宋体"/>
          <w:color w:val="auto"/>
          <w:kern w:val="0"/>
          <w:szCs w:val="21"/>
        </w:rPr>
        <w:t xml:space="preserve">如果供应商未按主合同约定向贵方供应货物/提供服务/完成工程的，由我方在保证金额内向你方支付上述款项。 </w:t>
      </w:r>
    </w:p>
    <w:p>
      <w:pPr>
        <w:adjustRightInd w:val="0"/>
        <w:snapToGrid w:val="0"/>
        <w:spacing w:line="360" w:lineRule="auto"/>
        <w:ind w:firstLine="422" w:firstLineChars="200"/>
        <w:rPr>
          <w:rFonts w:hint="eastAsia" w:ascii="宋体" w:hAnsi="宋体" w:cs="宋体"/>
          <w:b/>
          <w:color w:val="auto"/>
          <w:kern w:val="0"/>
          <w:szCs w:val="21"/>
        </w:rPr>
      </w:pPr>
      <w:r>
        <w:rPr>
          <w:rFonts w:hint="eastAsia" w:ascii="宋体" w:hAnsi="宋体" w:cs="宋体"/>
          <w:b/>
          <w:color w:val="auto"/>
          <w:kern w:val="0"/>
          <w:szCs w:val="21"/>
        </w:rPr>
        <w:t>三、承担保证责任的程序</w:t>
      </w:r>
    </w:p>
    <w:p>
      <w:pPr>
        <w:adjustRightInd w:val="0"/>
        <w:snapToGrid w:val="0"/>
        <w:spacing w:line="360" w:lineRule="auto"/>
        <w:ind w:firstLine="422" w:firstLineChars="200"/>
        <w:rPr>
          <w:rFonts w:hint="eastAsia" w:ascii="宋体" w:hAnsi="宋体" w:cs="宋体"/>
          <w:b/>
          <w:color w:val="auto"/>
          <w:kern w:val="0"/>
          <w:szCs w:val="21"/>
        </w:rPr>
      </w:pPr>
      <w:r>
        <w:rPr>
          <w:rFonts w:hint="eastAsia" w:ascii="宋体" w:hAnsi="宋体" w:cs="宋体"/>
          <w:color w:val="auto"/>
          <w:kern w:val="0"/>
          <w:szCs w:val="21"/>
        </w:rPr>
        <w:t xml:space="preserve">1．你方要求我方承担保证责任的，应在本保函保证期间内向我方发出书面索赔通知。索赔通知应写明要求索赔的金额，支付款项应到达的帐号。并附有证明供应商违约事实的证明材料。 </w:t>
      </w:r>
    </w:p>
    <w:p>
      <w:pPr>
        <w:adjustRightInd w:val="0"/>
        <w:snapToGrid w:val="0"/>
        <w:spacing w:line="360" w:lineRule="auto"/>
        <w:ind w:firstLine="422" w:firstLineChars="200"/>
        <w:rPr>
          <w:rFonts w:hint="eastAsia" w:ascii="宋体" w:hAnsi="宋体" w:cs="宋体"/>
          <w:color w:val="auto"/>
          <w:kern w:val="0"/>
          <w:szCs w:val="21"/>
        </w:rPr>
      </w:pPr>
      <w:r>
        <w:rPr>
          <w:rFonts w:hint="eastAsia" w:ascii="宋体" w:hAnsi="宋体" w:cs="宋体"/>
          <w:color w:val="auto"/>
          <w:kern w:val="0"/>
          <w:szCs w:val="21"/>
        </w:rPr>
        <w:t>如果你方与供应商因货物质量问题产生争议，你方还需同时提供</w:t>
      </w:r>
      <w:r>
        <w:rPr>
          <w:rFonts w:hint="eastAsia" w:ascii="宋体" w:hAnsi="宋体" w:cs="宋体"/>
          <w:color w:val="auto"/>
          <w:kern w:val="0"/>
          <w:szCs w:val="21"/>
          <w:u w:val="single"/>
        </w:rPr>
        <w:t xml:space="preserve">        </w:t>
      </w:r>
      <w:r>
        <w:rPr>
          <w:rFonts w:hint="eastAsia" w:ascii="宋体" w:hAnsi="宋体" w:cs="宋体"/>
          <w:color w:val="auto"/>
          <w:kern w:val="0"/>
          <w:szCs w:val="21"/>
        </w:rPr>
        <w:t>部门出具的质量检测报告，或经诉讼（仲裁）程序裁决后的裁决书、调解书，本保证人即按照检测结果或裁决书、调解书决定是否承担保证责任。</w:t>
      </w:r>
    </w:p>
    <w:p>
      <w:pPr>
        <w:adjustRightInd w:val="0"/>
        <w:snapToGrid w:val="0"/>
        <w:spacing w:line="360" w:lineRule="auto"/>
        <w:ind w:firstLine="422" w:firstLineChars="200"/>
        <w:rPr>
          <w:rFonts w:hint="eastAsia" w:ascii="宋体" w:hAnsi="宋体" w:cs="宋体"/>
          <w:color w:val="auto"/>
          <w:kern w:val="0"/>
          <w:szCs w:val="21"/>
        </w:rPr>
      </w:pPr>
      <w:r>
        <w:rPr>
          <w:rFonts w:hint="eastAsia" w:ascii="宋体" w:hAnsi="宋体" w:cs="宋体"/>
          <w:color w:val="auto"/>
          <w:kern w:val="0"/>
          <w:szCs w:val="21"/>
        </w:rPr>
        <w:t>2．我方收到你方的书面索赔通知及相应证明材料，在</w:t>
      </w:r>
      <w:r>
        <w:rPr>
          <w:rFonts w:hint="eastAsia" w:ascii="宋体" w:hAnsi="宋体" w:cs="宋体"/>
          <w:color w:val="auto"/>
          <w:kern w:val="0"/>
          <w:szCs w:val="21"/>
          <w:u w:val="single"/>
        </w:rPr>
        <w:t xml:space="preserve">    </w:t>
      </w:r>
      <w:r>
        <w:rPr>
          <w:rFonts w:hint="eastAsia" w:ascii="宋体" w:hAnsi="宋体" w:cs="宋体"/>
          <w:color w:val="auto"/>
          <w:kern w:val="0"/>
          <w:szCs w:val="21"/>
        </w:rPr>
        <w:t>工作日内进行核定后按照本保函的承诺承担保证责任。</w:t>
      </w:r>
    </w:p>
    <w:p>
      <w:pPr>
        <w:adjustRightInd w:val="0"/>
        <w:snapToGrid w:val="0"/>
        <w:spacing w:line="360" w:lineRule="auto"/>
        <w:ind w:firstLine="422" w:firstLineChars="200"/>
        <w:rPr>
          <w:rFonts w:hint="eastAsia" w:ascii="宋体" w:hAnsi="宋体" w:cs="宋体"/>
          <w:b/>
          <w:color w:val="auto"/>
          <w:kern w:val="0"/>
          <w:szCs w:val="21"/>
        </w:rPr>
      </w:pPr>
      <w:r>
        <w:rPr>
          <w:rFonts w:hint="eastAsia" w:ascii="宋体" w:hAnsi="宋体" w:cs="宋体"/>
          <w:b/>
          <w:color w:val="auto"/>
          <w:kern w:val="0"/>
          <w:szCs w:val="21"/>
        </w:rPr>
        <w:t>四、保证责任的终止</w:t>
      </w:r>
    </w:p>
    <w:p>
      <w:pPr>
        <w:adjustRightInd w:val="0"/>
        <w:snapToGrid w:val="0"/>
        <w:spacing w:line="360" w:lineRule="auto"/>
        <w:ind w:firstLine="422" w:firstLineChars="200"/>
        <w:rPr>
          <w:rFonts w:hint="eastAsia" w:ascii="宋体" w:hAnsi="宋体" w:cs="宋体"/>
          <w:color w:val="auto"/>
          <w:kern w:val="0"/>
          <w:szCs w:val="21"/>
        </w:rPr>
      </w:pPr>
      <w:r>
        <w:rPr>
          <w:rFonts w:hint="eastAsia" w:ascii="宋体" w:hAnsi="宋体" w:cs="宋体"/>
          <w:color w:val="auto"/>
          <w:kern w:val="0"/>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adjustRightInd w:val="0"/>
        <w:snapToGrid w:val="0"/>
        <w:spacing w:line="360" w:lineRule="auto"/>
        <w:ind w:firstLine="422" w:firstLineChars="200"/>
        <w:rPr>
          <w:rFonts w:hint="eastAsia" w:ascii="宋体" w:hAnsi="宋体" w:cs="宋体"/>
          <w:color w:val="auto"/>
          <w:kern w:val="0"/>
          <w:szCs w:val="21"/>
        </w:rPr>
      </w:pPr>
      <w:r>
        <w:rPr>
          <w:rFonts w:hint="eastAsia" w:ascii="宋体" w:hAnsi="宋体" w:cs="宋体"/>
          <w:color w:val="auto"/>
          <w:kern w:val="0"/>
          <w:szCs w:val="21"/>
        </w:rPr>
        <w:t>2．我方按照本保函向你方履行了保证责任后，自我方向你方支付款项（支付款项从我方账户划出）之日起，保证责任即终止。</w:t>
      </w:r>
    </w:p>
    <w:p>
      <w:pPr>
        <w:adjustRightInd w:val="0"/>
        <w:snapToGrid w:val="0"/>
        <w:spacing w:line="360" w:lineRule="auto"/>
        <w:ind w:firstLine="422" w:firstLineChars="200"/>
        <w:rPr>
          <w:rFonts w:hint="eastAsia" w:ascii="宋体" w:hAnsi="宋体" w:cs="宋体"/>
          <w:color w:val="auto"/>
          <w:kern w:val="0"/>
          <w:szCs w:val="21"/>
        </w:rPr>
      </w:pPr>
      <w:r>
        <w:rPr>
          <w:rFonts w:hint="eastAsia" w:ascii="宋体" w:hAnsi="宋体" w:cs="宋体"/>
          <w:color w:val="auto"/>
          <w:kern w:val="0"/>
          <w:szCs w:val="21"/>
        </w:rPr>
        <w:t>3．按照法律法规的规定或出现应终止我方保证责任的其它情形的，我方在本保函项下的保证责任亦终止。</w:t>
      </w:r>
    </w:p>
    <w:p>
      <w:pPr>
        <w:adjustRightInd w:val="0"/>
        <w:snapToGrid w:val="0"/>
        <w:spacing w:line="360" w:lineRule="auto"/>
        <w:ind w:firstLine="422" w:firstLineChars="200"/>
        <w:rPr>
          <w:rFonts w:hint="eastAsia" w:ascii="宋体" w:hAnsi="宋体" w:cs="宋体"/>
          <w:color w:val="auto"/>
          <w:kern w:val="0"/>
          <w:szCs w:val="21"/>
        </w:rPr>
      </w:pPr>
      <w:r>
        <w:rPr>
          <w:rFonts w:hint="eastAsia" w:ascii="宋体" w:hAnsi="宋体" w:cs="宋体"/>
          <w:color w:val="auto"/>
          <w:kern w:val="0"/>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adjustRightInd w:val="0"/>
        <w:snapToGrid w:val="0"/>
        <w:spacing w:line="360" w:lineRule="auto"/>
        <w:ind w:firstLine="422" w:firstLineChars="200"/>
        <w:rPr>
          <w:rFonts w:hint="eastAsia" w:ascii="宋体" w:hAnsi="宋体" w:cs="宋体"/>
          <w:b/>
          <w:color w:val="auto"/>
          <w:kern w:val="0"/>
          <w:szCs w:val="21"/>
        </w:rPr>
      </w:pPr>
      <w:r>
        <w:rPr>
          <w:rFonts w:hint="eastAsia" w:ascii="宋体" w:hAnsi="宋体" w:cs="宋体"/>
          <w:b/>
          <w:color w:val="auto"/>
          <w:kern w:val="0"/>
          <w:szCs w:val="21"/>
        </w:rPr>
        <w:t>五、免责条款</w:t>
      </w:r>
    </w:p>
    <w:p>
      <w:pPr>
        <w:adjustRightInd w:val="0"/>
        <w:snapToGrid w:val="0"/>
        <w:spacing w:line="360" w:lineRule="auto"/>
        <w:ind w:firstLine="422" w:firstLineChars="200"/>
        <w:rPr>
          <w:rFonts w:hint="eastAsia" w:ascii="宋体" w:hAnsi="宋体" w:cs="宋体"/>
          <w:color w:val="auto"/>
          <w:kern w:val="0"/>
          <w:szCs w:val="21"/>
        </w:rPr>
      </w:pPr>
      <w:r>
        <w:rPr>
          <w:rFonts w:hint="eastAsia" w:ascii="宋体" w:hAnsi="宋体" w:cs="宋体"/>
          <w:color w:val="auto"/>
          <w:kern w:val="0"/>
          <w:szCs w:val="21"/>
        </w:rPr>
        <w:t>1．因你方违反主合同约定致使供应商不能履行义务的，我方不承担保证责任。</w:t>
      </w:r>
    </w:p>
    <w:p>
      <w:pPr>
        <w:adjustRightInd w:val="0"/>
        <w:snapToGrid w:val="0"/>
        <w:spacing w:line="360" w:lineRule="auto"/>
        <w:ind w:firstLine="422" w:firstLineChars="200"/>
        <w:rPr>
          <w:rFonts w:hint="eastAsia" w:ascii="宋体" w:hAnsi="宋体" w:cs="宋体"/>
          <w:b/>
          <w:color w:val="auto"/>
          <w:kern w:val="0"/>
          <w:szCs w:val="21"/>
        </w:rPr>
      </w:pPr>
      <w:r>
        <w:rPr>
          <w:rFonts w:hint="eastAsia" w:ascii="宋体" w:hAnsi="宋体" w:cs="宋体"/>
          <w:color w:val="auto"/>
          <w:kern w:val="0"/>
          <w:szCs w:val="21"/>
        </w:rPr>
        <w:t>2．依照法律法规的规定或你方与供应商的另行约定，全部或者部分免除供应商应缴纳的保证金义务的，我方亦免除相应的保证责任。</w:t>
      </w:r>
    </w:p>
    <w:p>
      <w:pPr>
        <w:adjustRightInd w:val="0"/>
        <w:snapToGrid w:val="0"/>
        <w:spacing w:line="360" w:lineRule="auto"/>
        <w:ind w:firstLine="422" w:firstLineChars="200"/>
        <w:rPr>
          <w:rFonts w:hint="eastAsia" w:ascii="宋体" w:hAnsi="宋体" w:cs="宋体"/>
          <w:color w:val="auto"/>
          <w:kern w:val="0"/>
          <w:szCs w:val="21"/>
        </w:rPr>
      </w:pPr>
      <w:r>
        <w:rPr>
          <w:rFonts w:hint="eastAsia" w:ascii="宋体" w:hAnsi="宋体" w:cs="宋体"/>
          <w:color w:val="auto"/>
          <w:kern w:val="0"/>
          <w:szCs w:val="21"/>
        </w:rPr>
        <w:t>3．因不可抗力造成供应商不能履行供货义务的，我方不承担保证责任。</w:t>
      </w:r>
    </w:p>
    <w:p>
      <w:pPr>
        <w:adjustRightInd w:val="0"/>
        <w:snapToGrid w:val="0"/>
        <w:spacing w:line="360" w:lineRule="auto"/>
        <w:ind w:firstLine="422" w:firstLineChars="200"/>
        <w:rPr>
          <w:rFonts w:hint="eastAsia" w:ascii="宋体" w:hAnsi="宋体" w:cs="宋体"/>
          <w:b/>
          <w:color w:val="auto"/>
          <w:kern w:val="0"/>
          <w:szCs w:val="21"/>
        </w:rPr>
      </w:pPr>
      <w:r>
        <w:rPr>
          <w:rFonts w:hint="eastAsia" w:ascii="宋体" w:hAnsi="宋体" w:cs="宋体"/>
          <w:b/>
          <w:color w:val="auto"/>
          <w:kern w:val="0"/>
          <w:szCs w:val="21"/>
        </w:rPr>
        <w:t>六、争议的解决</w:t>
      </w:r>
    </w:p>
    <w:p>
      <w:pPr>
        <w:adjustRightInd w:val="0"/>
        <w:snapToGrid w:val="0"/>
        <w:spacing w:line="360" w:lineRule="auto"/>
        <w:ind w:firstLine="422" w:firstLineChars="200"/>
        <w:rPr>
          <w:rFonts w:hint="eastAsia" w:ascii="宋体" w:hAnsi="宋体" w:cs="宋体"/>
          <w:color w:val="auto"/>
          <w:kern w:val="0"/>
          <w:szCs w:val="21"/>
        </w:rPr>
      </w:pPr>
      <w:r>
        <w:rPr>
          <w:rFonts w:hint="eastAsia" w:ascii="宋体" w:hAnsi="宋体" w:cs="宋体"/>
          <w:color w:val="auto"/>
          <w:kern w:val="0"/>
          <w:szCs w:val="21"/>
        </w:rPr>
        <w:t>因本保函发生的纠纷，由你我双方协商解决，协商不成的，通过诉讼程序解决，诉讼管辖地法院为</w:t>
      </w:r>
      <w:r>
        <w:rPr>
          <w:rFonts w:hint="eastAsia" w:ascii="宋体" w:hAnsi="宋体" w:cs="宋体"/>
          <w:color w:val="auto"/>
          <w:kern w:val="0"/>
          <w:szCs w:val="21"/>
          <w:u w:val="single"/>
        </w:rPr>
        <w:t xml:space="preserve">          </w:t>
      </w:r>
      <w:r>
        <w:rPr>
          <w:rFonts w:hint="eastAsia" w:ascii="宋体" w:hAnsi="宋体" w:cs="宋体"/>
          <w:color w:val="auto"/>
          <w:kern w:val="0"/>
          <w:szCs w:val="21"/>
        </w:rPr>
        <w:t>法院。</w:t>
      </w:r>
    </w:p>
    <w:p>
      <w:pPr>
        <w:adjustRightInd w:val="0"/>
        <w:snapToGrid w:val="0"/>
        <w:spacing w:line="360" w:lineRule="auto"/>
        <w:ind w:firstLine="422" w:firstLineChars="200"/>
        <w:rPr>
          <w:rFonts w:hint="eastAsia" w:ascii="宋体" w:hAnsi="宋体" w:cs="宋体"/>
          <w:b/>
          <w:color w:val="auto"/>
          <w:kern w:val="0"/>
          <w:szCs w:val="21"/>
        </w:rPr>
      </w:pPr>
      <w:r>
        <w:rPr>
          <w:rFonts w:hint="eastAsia" w:ascii="宋体" w:hAnsi="宋体" w:cs="宋体"/>
          <w:b/>
          <w:color w:val="auto"/>
          <w:kern w:val="0"/>
          <w:szCs w:val="21"/>
        </w:rPr>
        <w:t xml:space="preserve">七、保函的生效 </w:t>
      </w:r>
    </w:p>
    <w:p>
      <w:pPr>
        <w:adjustRightInd w:val="0"/>
        <w:snapToGrid w:val="0"/>
        <w:spacing w:line="360" w:lineRule="auto"/>
        <w:ind w:firstLine="422" w:firstLineChars="200"/>
        <w:rPr>
          <w:rFonts w:hint="eastAsia" w:ascii="宋体" w:hAnsi="宋体" w:cs="宋体"/>
          <w:color w:val="auto"/>
          <w:kern w:val="0"/>
          <w:szCs w:val="21"/>
        </w:rPr>
      </w:pPr>
      <w:r>
        <w:rPr>
          <w:rFonts w:hint="eastAsia" w:ascii="宋体" w:hAnsi="宋体" w:cs="宋体"/>
          <w:color w:val="auto"/>
          <w:kern w:val="0"/>
          <w:szCs w:val="21"/>
        </w:rPr>
        <w:t xml:space="preserve">本保函自我方加盖公章之日起生效。 </w:t>
      </w:r>
    </w:p>
    <w:p>
      <w:pPr>
        <w:tabs>
          <w:tab w:val="left" w:pos="2850"/>
        </w:tabs>
        <w:adjustRightInd w:val="0"/>
        <w:snapToGrid w:val="0"/>
        <w:spacing w:line="360" w:lineRule="auto"/>
        <w:rPr>
          <w:rFonts w:hint="eastAsia"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ab/>
      </w:r>
      <w:r>
        <w:rPr>
          <w:rFonts w:hint="eastAsia" w:ascii="宋体" w:hAnsi="宋体" w:cs="宋体"/>
          <w:color w:val="auto"/>
          <w:kern w:val="0"/>
          <w:szCs w:val="21"/>
        </w:rPr>
        <w:t xml:space="preserve">          保证人：（公章） </w:t>
      </w:r>
    </w:p>
    <w:p>
      <w:pPr>
        <w:adjustRightInd w:val="0"/>
        <w:snapToGrid w:val="0"/>
        <w:spacing w:line="360" w:lineRule="auto"/>
        <w:rPr>
          <w:rFonts w:ascii="宋体" w:hAnsi="宋体" w:cs="宋体"/>
          <w:color w:val="auto"/>
          <w:kern w:val="0"/>
          <w:szCs w:val="21"/>
        </w:rPr>
        <w:sectPr>
          <w:footerReference r:id="rId6" w:type="default"/>
          <w:pgSz w:w="11906" w:h="16838"/>
          <w:pgMar w:top="1474" w:right="1587" w:bottom="1474" w:left="1587" w:header="851" w:footer="992" w:gutter="0"/>
          <w:pgNumType w:fmt="decimal"/>
          <w:cols w:space="720" w:num="1"/>
          <w:rtlGutter w:val="0"/>
          <w:docGrid w:type="linesAndChars" w:linePitch="312" w:charSpace="409"/>
        </w:sectPr>
      </w:pPr>
      <w:r>
        <w:rPr>
          <w:rFonts w:hint="eastAsia" w:ascii="宋体" w:hAnsi="宋体" w:cs="宋体"/>
          <w:color w:val="auto"/>
          <w:kern w:val="0"/>
          <w:szCs w:val="21"/>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p>
      <w:pPr>
        <w:adjustRightInd w:val="0"/>
        <w:snapToGrid w:val="0"/>
        <w:spacing w:line="360" w:lineRule="auto"/>
        <w:jc w:val="center"/>
        <w:rPr>
          <w:rFonts w:ascii="宋体" w:hAnsi="宋体" w:cs="宋体"/>
          <w:b/>
          <w:bCs/>
          <w:color w:val="auto"/>
          <w:sz w:val="32"/>
          <w:szCs w:val="32"/>
        </w:rPr>
      </w:pPr>
      <w:r>
        <w:rPr>
          <w:rFonts w:hint="eastAsia" w:ascii="宋体" w:hAnsi="宋体" w:cs="宋体"/>
          <w:b/>
          <w:bCs/>
          <w:color w:val="auto"/>
          <w:sz w:val="32"/>
          <w:szCs w:val="32"/>
        </w:rPr>
        <w:t>评审因素和标准（</w:t>
      </w:r>
      <w:r>
        <w:rPr>
          <w:rFonts w:ascii="宋体" w:hAnsi="宋体" w:cs="宋体"/>
          <w:b/>
          <w:bCs/>
          <w:color w:val="auto"/>
          <w:sz w:val="32"/>
          <w:szCs w:val="32"/>
        </w:rPr>
        <w:t>100</w:t>
      </w:r>
      <w:r>
        <w:rPr>
          <w:rFonts w:hint="eastAsia" w:ascii="宋体" w:hAnsi="宋体" w:cs="宋体"/>
          <w:b/>
          <w:bCs/>
          <w:color w:val="auto"/>
          <w:sz w:val="32"/>
          <w:szCs w:val="32"/>
        </w:rPr>
        <w:t>分）</w:t>
      </w:r>
    </w:p>
    <w:p>
      <w:pPr>
        <w:pStyle w:val="2"/>
        <w:rPr>
          <w:color w:val="auto"/>
        </w:rPr>
      </w:pPr>
    </w:p>
    <w:p>
      <w:pPr>
        <w:adjustRightInd w:val="0"/>
        <w:snapToGrid w:val="0"/>
        <w:spacing w:line="360" w:lineRule="exact"/>
        <w:jc w:val="center"/>
        <w:rPr>
          <w:rFonts w:ascii="新宋体" w:hAnsi="新宋体" w:eastAsia="新宋体" w:cs="新宋体"/>
          <w:b/>
          <w:bCs/>
          <w:color w:val="auto"/>
          <w:sz w:val="28"/>
          <w:szCs w:val="28"/>
        </w:rPr>
      </w:pPr>
    </w:p>
    <w:p>
      <w:pPr>
        <w:spacing w:line="320" w:lineRule="exact"/>
        <w:rPr>
          <w:rFonts w:hint="eastAsia" w:ascii="宋体" w:hAnsi="宋体"/>
          <w:b/>
          <w:bCs/>
          <w:color w:val="auto"/>
          <w:szCs w:val="21"/>
        </w:rPr>
      </w:pPr>
    </w:p>
    <w:p>
      <w:pPr>
        <w:spacing w:line="300" w:lineRule="exact"/>
        <w:jc w:val="center"/>
        <w:rPr>
          <w:rFonts w:hint="eastAsia" w:ascii="宋体" w:hAnsi="宋体"/>
          <w:b/>
          <w:color w:val="auto"/>
          <w:sz w:val="28"/>
          <w:szCs w:val="28"/>
        </w:rPr>
      </w:pPr>
      <w:r>
        <w:rPr>
          <w:rFonts w:hint="eastAsia" w:ascii="宋体" w:hAnsi="宋体"/>
          <w:b/>
          <w:color w:val="auto"/>
          <w:sz w:val="28"/>
          <w:szCs w:val="28"/>
        </w:rPr>
        <w:t>评审因素和标准</w:t>
      </w:r>
    </w:p>
    <w:p>
      <w:pPr>
        <w:pStyle w:val="24"/>
        <w:ind w:left="0" w:leftChars="0" w:firstLine="0" w:firstLineChars="0"/>
        <w:jc w:val="left"/>
        <w:rPr>
          <w:rFonts w:hint="eastAsia"/>
          <w:color w:val="auto"/>
        </w:rPr>
      </w:pPr>
      <w:r>
        <w:rPr>
          <w:rFonts w:hint="eastAsia" w:ascii="宋体" w:hAnsi="宋体"/>
          <w:b/>
          <w:color w:val="auto"/>
          <w:sz w:val="28"/>
          <w:szCs w:val="28"/>
        </w:rPr>
        <w:t>综合评分表：</w:t>
      </w:r>
    </w:p>
    <w:tbl>
      <w:tblPr>
        <w:tblStyle w:val="19"/>
        <w:tblW w:w="96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58"/>
        <w:gridCol w:w="1036"/>
        <w:gridCol w:w="742"/>
        <w:gridCol w:w="68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1058" w:type="dxa"/>
            <w:tcBorders>
              <w:top w:val="single" w:color="auto" w:sz="6" w:space="0"/>
              <w:left w:val="single" w:color="auto" w:sz="6" w:space="0"/>
              <w:bottom w:val="single" w:color="auto" w:sz="6" w:space="0"/>
              <w:right w:val="single" w:color="auto" w:sz="6" w:space="0"/>
            </w:tcBorders>
            <w:vAlign w:val="center"/>
          </w:tcPr>
          <w:p>
            <w:pPr>
              <w:pStyle w:val="2"/>
              <w:overflowPunct w:val="0"/>
              <w:topLinePunct/>
              <w:spacing w:after="0"/>
              <w:jc w:val="center"/>
              <w:textAlignment w:val="top"/>
              <w:rPr>
                <w:rFonts w:ascii="宋体" w:hAnsi="宋体" w:cs="宋体"/>
                <w:color w:val="auto"/>
                <w:kern w:val="0"/>
              </w:rPr>
            </w:pPr>
            <w:r>
              <w:rPr>
                <w:rFonts w:hint="eastAsia" w:ascii="宋体" w:hAnsi="宋体" w:cs="宋体"/>
                <w:color w:val="auto"/>
                <w:kern w:val="0"/>
              </w:rPr>
              <w:t>评审</w:t>
            </w:r>
          </w:p>
          <w:p>
            <w:pPr>
              <w:pStyle w:val="2"/>
              <w:overflowPunct w:val="0"/>
              <w:topLinePunct/>
              <w:spacing w:after="0"/>
              <w:jc w:val="center"/>
              <w:textAlignment w:val="top"/>
              <w:rPr>
                <w:rFonts w:ascii="宋体" w:hAnsi="宋体" w:cs="宋体"/>
                <w:color w:val="auto"/>
                <w:kern w:val="0"/>
              </w:rPr>
            </w:pPr>
            <w:r>
              <w:rPr>
                <w:rFonts w:hint="eastAsia" w:ascii="宋体" w:hAnsi="宋体" w:cs="宋体"/>
                <w:color w:val="auto"/>
                <w:kern w:val="0"/>
              </w:rPr>
              <w:t>因素</w:t>
            </w:r>
          </w:p>
        </w:tc>
        <w:tc>
          <w:tcPr>
            <w:tcW w:w="1036" w:type="dxa"/>
            <w:tcBorders>
              <w:top w:val="single" w:color="auto" w:sz="6" w:space="0"/>
              <w:left w:val="single" w:color="auto" w:sz="6" w:space="0"/>
              <w:bottom w:val="single" w:color="auto" w:sz="6" w:space="0"/>
              <w:right w:val="single" w:color="auto" w:sz="6" w:space="0"/>
            </w:tcBorders>
          </w:tcPr>
          <w:p>
            <w:pPr>
              <w:pStyle w:val="2"/>
              <w:overflowPunct w:val="0"/>
              <w:topLinePunct/>
              <w:spacing w:after="0"/>
              <w:jc w:val="center"/>
              <w:textAlignment w:val="top"/>
              <w:rPr>
                <w:rFonts w:ascii="宋体" w:hAnsi="宋体" w:cs="宋体"/>
                <w:color w:val="auto"/>
                <w:kern w:val="0"/>
              </w:rPr>
            </w:pPr>
            <w:r>
              <w:rPr>
                <w:rFonts w:hint="eastAsia" w:ascii="宋体" w:hAnsi="宋体" w:cs="宋体"/>
                <w:color w:val="auto"/>
                <w:kern w:val="0"/>
              </w:rPr>
              <w:t>评分</w:t>
            </w:r>
          </w:p>
          <w:p>
            <w:pPr>
              <w:pStyle w:val="2"/>
              <w:overflowPunct w:val="0"/>
              <w:topLinePunct/>
              <w:spacing w:after="0"/>
              <w:jc w:val="center"/>
              <w:textAlignment w:val="top"/>
              <w:rPr>
                <w:rFonts w:ascii="宋体" w:hAnsi="宋体" w:cs="宋体"/>
                <w:color w:val="auto"/>
                <w:kern w:val="0"/>
              </w:rPr>
            </w:pPr>
            <w:r>
              <w:rPr>
                <w:rFonts w:hint="eastAsia" w:ascii="宋体" w:hAnsi="宋体" w:cs="宋体"/>
                <w:color w:val="auto"/>
                <w:kern w:val="0"/>
              </w:rPr>
              <w:t>分项</w:t>
            </w:r>
          </w:p>
        </w:tc>
        <w:tc>
          <w:tcPr>
            <w:tcW w:w="742" w:type="dxa"/>
            <w:tcBorders>
              <w:top w:val="single" w:color="auto" w:sz="6" w:space="0"/>
              <w:left w:val="single" w:color="auto" w:sz="6" w:space="0"/>
              <w:bottom w:val="single" w:color="auto" w:sz="6" w:space="0"/>
              <w:right w:val="single" w:color="auto" w:sz="6" w:space="0"/>
            </w:tcBorders>
            <w:vAlign w:val="center"/>
          </w:tcPr>
          <w:p>
            <w:pPr>
              <w:pStyle w:val="2"/>
              <w:overflowPunct w:val="0"/>
              <w:topLinePunct/>
              <w:spacing w:after="0"/>
              <w:jc w:val="center"/>
              <w:textAlignment w:val="top"/>
              <w:rPr>
                <w:rFonts w:ascii="宋体" w:hAnsi="宋体" w:cs="宋体"/>
                <w:color w:val="auto"/>
                <w:kern w:val="0"/>
              </w:rPr>
            </w:pPr>
            <w:r>
              <w:rPr>
                <w:rFonts w:hint="eastAsia" w:ascii="宋体" w:hAnsi="宋体" w:cs="宋体"/>
                <w:color w:val="auto"/>
                <w:kern w:val="0"/>
              </w:rPr>
              <w:t>权值</w:t>
            </w:r>
          </w:p>
        </w:tc>
        <w:tc>
          <w:tcPr>
            <w:tcW w:w="6802" w:type="dxa"/>
            <w:tcBorders>
              <w:top w:val="single" w:color="auto" w:sz="6" w:space="0"/>
              <w:left w:val="single" w:color="auto" w:sz="6" w:space="0"/>
              <w:bottom w:val="single" w:color="auto" w:sz="6" w:space="0"/>
              <w:right w:val="single" w:color="auto" w:sz="6" w:space="0"/>
            </w:tcBorders>
            <w:vAlign w:val="center"/>
          </w:tcPr>
          <w:p>
            <w:pPr>
              <w:pStyle w:val="2"/>
              <w:overflowPunct w:val="0"/>
              <w:topLinePunct/>
              <w:spacing w:after="0"/>
              <w:jc w:val="center"/>
              <w:textAlignment w:val="top"/>
              <w:rPr>
                <w:rFonts w:ascii="宋体" w:hAnsi="宋体" w:cs="宋体"/>
                <w:color w:val="auto"/>
                <w:kern w:val="0"/>
              </w:rPr>
            </w:pPr>
            <w:r>
              <w:rPr>
                <w:rFonts w:hint="eastAsia" w:ascii="宋体" w:hAnsi="宋体" w:cs="宋体"/>
                <w:color w:val="auto"/>
                <w:kern w:val="0"/>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05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s="宋体"/>
                <w:color w:val="auto"/>
                <w:kern w:val="0"/>
              </w:rPr>
            </w:pPr>
            <w:r>
              <w:rPr>
                <w:rFonts w:hint="eastAsia" w:ascii="宋体" w:hAnsi="宋体" w:cs="宋体"/>
                <w:color w:val="auto"/>
                <w:kern w:val="0"/>
              </w:rPr>
              <w:t>价格</w:t>
            </w:r>
          </w:p>
          <w:p>
            <w:pPr>
              <w:widowControl/>
              <w:jc w:val="center"/>
              <w:textAlignment w:val="top"/>
              <w:rPr>
                <w:rFonts w:ascii="宋体" w:hAnsi="宋体" w:cs="宋体"/>
                <w:color w:val="auto"/>
                <w:kern w:val="0"/>
              </w:rPr>
            </w:pPr>
            <w:r>
              <w:rPr>
                <w:rFonts w:hint="eastAsia" w:ascii="宋体" w:hAnsi="宋体" w:cs="宋体"/>
                <w:color w:val="auto"/>
                <w:kern w:val="0"/>
              </w:rPr>
              <w:t>部分</w:t>
            </w:r>
          </w:p>
          <w:p>
            <w:pPr>
              <w:widowControl/>
              <w:jc w:val="center"/>
              <w:textAlignment w:val="top"/>
              <w:rPr>
                <w:rFonts w:ascii="宋体" w:hAnsi="宋体" w:cs="宋体"/>
                <w:color w:val="auto"/>
                <w:kern w:val="0"/>
              </w:rPr>
            </w:pPr>
            <w:r>
              <w:rPr>
                <w:rFonts w:hint="eastAsia" w:ascii="宋体" w:hAnsi="宋体" w:cs="宋体"/>
                <w:color w:val="auto"/>
                <w:kern w:val="0"/>
              </w:rPr>
              <w:t>（</w:t>
            </w:r>
            <w:r>
              <w:rPr>
                <w:rFonts w:hint="eastAsia" w:ascii="宋体" w:hAnsi="宋体" w:cs="宋体"/>
                <w:color w:val="auto"/>
                <w:kern w:val="0"/>
                <w:lang w:val="en-US" w:eastAsia="zh-CN"/>
              </w:rPr>
              <w:t>20</w:t>
            </w:r>
            <w:r>
              <w:rPr>
                <w:rFonts w:ascii="宋体" w:hAnsi="宋体" w:cs="宋体"/>
                <w:color w:val="auto"/>
                <w:kern w:val="0"/>
              </w:rPr>
              <w:t>分）</w:t>
            </w:r>
          </w:p>
        </w:tc>
        <w:tc>
          <w:tcPr>
            <w:tcW w:w="103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auto"/>
                <w:kern w:val="0"/>
              </w:rPr>
            </w:pPr>
            <w:r>
              <w:rPr>
                <w:rFonts w:hint="eastAsia" w:ascii="宋体" w:hAnsi="宋体" w:cs="宋体"/>
                <w:color w:val="auto"/>
                <w:kern w:val="0"/>
              </w:rPr>
              <w:t>投标</w:t>
            </w:r>
          </w:p>
          <w:p>
            <w:pPr>
              <w:widowControl/>
              <w:jc w:val="center"/>
              <w:textAlignment w:val="center"/>
              <w:rPr>
                <w:rFonts w:ascii="宋体" w:hAnsi="宋体" w:cs="宋体"/>
                <w:color w:val="auto"/>
                <w:kern w:val="0"/>
              </w:rPr>
            </w:pPr>
            <w:r>
              <w:rPr>
                <w:rFonts w:hint="eastAsia" w:ascii="宋体" w:hAnsi="宋体" w:cs="宋体"/>
                <w:color w:val="auto"/>
                <w:kern w:val="0"/>
              </w:rPr>
              <w:t>报价</w:t>
            </w:r>
          </w:p>
        </w:tc>
        <w:tc>
          <w:tcPr>
            <w:tcW w:w="74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default" w:ascii="宋体" w:hAnsi="宋体" w:cs="宋体"/>
                <w:color w:val="auto"/>
                <w:kern w:val="0"/>
                <w:lang w:val="en-US"/>
              </w:rPr>
            </w:pPr>
            <w:r>
              <w:rPr>
                <w:rFonts w:hint="eastAsia" w:ascii="宋体" w:hAnsi="宋体" w:cs="宋体"/>
                <w:color w:val="auto"/>
                <w:kern w:val="0"/>
                <w:lang w:val="en-US" w:eastAsia="zh-CN"/>
              </w:rPr>
              <w:t>20</w:t>
            </w:r>
          </w:p>
        </w:tc>
        <w:tc>
          <w:tcPr>
            <w:tcW w:w="6802" w:type="dxa"/>
            <w:tcBorders>
              <w:top w:val="single" w:color="auto" w:sz="6" w:space="0"/>
              <w:left w:val="single" w:color="auto" w:sz="6" w:space="0"/>
              <w:bottom w:val="single" w:color="auto" w:sz="6" w:space="0"/>
              <w:right w:val="single" w:color="auto" w:sz="6" w:space="0"/>
            </w:tcBorders>
            <w:vAlign w:val="center"/>
          </w:tcPr>
          <w:p>
            <w:pPr>
              <w:widowControl/>
              <w:textAlignment w:val="top"/>
              <w:rPr>
                <w:rFonts w:ascii="宋体" w:hAnsi="宋体" w:cs="宋体"/>
                <w:color w:val="auto"/>
                <w:kern w:val="0"/>
              </w:rPr>
            </w:pPr>
            <w:r>
              <w:rPr>
                <w:rFonts w:hint="eastAsia" w:ascii="宋体" w:hAnsi="宋体" w:cs="宋体"/>
                <w:color w:val="auto"/>
                <w:kern w:val="0"/>
              </w:rPr>
              <w:t>投标人的价格分统一按下列公式计算：投标报价得分＝（评标基准价</w:t>
            </w:r>
            <w:r>
              <w:rPr>
                <w:rFonts w:ascii="宋体" w:hAnsi="宋体" w:cs="宋体"/>
                <w:color w:val="auto"/>
                <w:kern w:val="0"/>
              </w:rPr>
              <w:t>/投标报价）*</w:t>
            </w:r>
            <w:r>
              <w:rPr>
                <w:rFonts w:hint="eastAsia" w:ascii="宋体" w:hAnsi="宋体" w:cs="宋体"/>
                <w:color w:val="auto"/>
                <w:kern w:val="0"/>
                <w:lang w:val="en-US" w:eastAsia="zh-CN"/>
              </w:rPr>
              <w:t>20</w:t>
            </w:r>
            <w:r>
              <w:rPr>
                <w:rFonts w:ascii="宋体" w:hAnsi="宋体" w:cs="宋体"/>
                <w:color w:val="auto"/>
                <w:kern w:val="0"/>
              </w:rPr>
              <w:t>。评标基准价是指满足招标文件要求且投标价格最低的投标报价。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58" w:type="dxa"/>
            <w:vMerge w:val="restart"/>
            <w:tcBorders>
              <w:top w:val="single" w:color="auto" w:sz="6" w:space="0"/>
              <w:left w:val="single" w:color="auto" w:sz="6" w:space="0"/>
              <w:right w:val="single" w:color="auto" w:sz="6" w:space="0"/>
            </w:tcBorders>
            <w:vAlign w:val="center"/>
          </w:tcPr>
          <w:p>
            <w:pPr>
              <w:widowControl/>
              <w:jc w:val="center"/>
              <w:textAlignment w:val="top"/>
              <w:rPr>
                <w:rFonts w:ascii="宋体" w:hAnsi="宋体" w:cs="宋体"/>
                <w:color w:val="auto"/>
                <w:kern w:val="0"/>
              </w:rPr>
            </w:pPr>
            <w:r>
              <w:rPr>
                <w:rFonts w:hint="eastAsia" w:ascii="宋体" w:hAnsi="宋体" w:cs="宋体"/>
                <w:color w:val="auto"/>
                <w:kern w:val="0"/>
              </w:rPr>
              <w:t>商务</w:t>
            </w:r>
          </w:p>
          <w:p>
            <w:pPr>
              <w:widowControl/>
              <w:jc w:val="center"/>
              <w:textAlignment w:val="top"/>
              <w:rPr>
                <w:rFonts w:ascii="宋体" w:hAnsi="宋体" w:cs="宋体"/>
                <w:color w:val="auto"/>
                <w:kern w:val="0"/>
              </w:rPr>
            </w:pPr>
            <w:r>
              <w:rPr>
                <w:rFonts w:hint="eastAsia" w:ascii="宋体" w:hAnsi="宋体" w:cs="宋体"/>
                <w:color w:val="auto"/>
                <w:kern w:val="0"/>
              </w:rPr>
              <w:t>部分</w:t>
            </w:r>
          </w:p>
          <w:p>
            <w:pPr>
              <w:widowControl/>
              <w:jc w:val="center"/>
              <w:textAlignment w:val="top"/>
              <w:rPr>
                <w:rFonts w:ascii="宋体" w:hAnsi="宋体" w:cs="宋体"/>
                <w:color w:val="auto"/>
                <w:kern w:val="0"/>
              </w:rPr>
            </w:pPr>
            <w:r>
              <w:rPr>
                <w:rFonts w:hint="eastAsia" w:ascii="宋体" w:hAnsi="宋体" w:cs="宋体"/>
                <w:color w:val="auto"/>
                <w:kern w:val="0"/>
              </w:rPr>
              <w:t>（</w:t>
            </w:r>
            <w:r>
              <w:rPr>
                <w:rFonts w:hint="eastAsia" w:ascii="宋体" w:hAnsi="宋体" w:cs="宋体"/>
                <w:color w:val="auto"/>
                <w:kern w:val="0"/>
                <w:lang w:val="en-US" w:eastAsia="zh-CN"/>
              </w:rPr>
              <w:t>30</w:t>
            </w:r>
            <w:r>
              <w:rPr>
                <w:rFonts w:ascii="宋体" w:hAnsi="宋体" w:cs="宋体"/>
                <w:color w:val="auto"/>
                <w:kern w:val="0"/>
              </w:rPr>
              <w:t>分）</w:t>
            </w:r>
          </w:p>
        </w:tc>
        <w:tc>
          <w:tcPr>
            <w:tcW w:w="1036" w:type="dxa"/>
            <w:tcBorders>
              <w:top w:val="single" w:color="auto" w:sz="6" w:space="0"/>
              <w:left w:val="single" w:color="auto" w:sz="6" w:space="0"/>
              <w:right w:val="single" w:color="auto" w:sz="6" w:space="0"/>
            </w:tcBorders>
            <w:vAlign w:val="center"/>
          </w:tcPr>
          <w:p>
            <w:pPr>
              <w:snapToGrid w:val="0"/>
              <w:jc w:val="center"/>
              <w:rPr>
                <w:rFonts w:ascii="宋体" w:hAnsi="宋体" w:cs="宋体"/>
                <w:color w:val="auto"/>
                <w:kern w:val="0"/>
              </w:rPr>
            </w:pPr>
            <w:r>
              <w:rPr>
                <w:rFonts w:hint="eastAsia" w:ascii="宋体" w:hAnsi="宋体" w:cs="宋体"/>
                <w:color w:val="auto"/>
                <w:kern w:val="0"/>
              </w:rPr>
              <w:t>类似</w:t>
            </w:r>
          </w:p>
          <w:p>
            <w:pPr>
              <w:snapToGrid w:val="0"/>
              <w:jc w:val="center"/>
              <w:rPr>
                <w:rFonts w:ascii="宋体" w:hAnsi="宋体" w:cs="宋体"/>
                <w:color w:val="auto"/>
                <w:kern w:val="0"/>
              </w:rPr>
            </w:pPr>
            <w:r>
              <w:rPr>
                <w:rFonts w:hint="eastAsia" w:ascii="宋体" w:hAnsi="宋体" w:cs="宋体"/>
                <w:color w:val="auto"/>
                <w:kern w:val="0"/>
              </w:rPr>
              <w:t>业绩</w:t>
            </w:r>
          </w:p>
        </w:tc>
        <w:tc>
          <w:tcPr>
            <w:tcW w:w="74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default" w:ascii="宋体" w:hAnsi="宋体" w:cs="宋体" w:eastAsiaTheme="minorEastAsia"/>
                <w:color w:val="auto"/>
                <w:kern w:val="0"/>
                <w:lang w:val="en-US" w:eastAsia="zh-CN"/>
              </w:rPr>
            </w:pPr>
            <w:r>
              <w:rPr>
                <w:rFonts w:hint="eastAsia" w:ascii="宋体" w:hAnsi="宋体" w:cs="宋体"/>
                <w:color w:val="auto"/>
                <w:kern w:val="0"/>
                <w:lang w:val="en-US" w:eastAsia="zh-CN"/>
              </w:rPr>
              <w:t>15</w:t>
            </w:r>
          </w:p>
        </w:tc>
        <w:tc>
          <w:tcPr>
            <w:tcW w:w="6802" w:type="dxa"/>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cs="宋体"/>
                <w:color w:val="auto"/>
                <w:kern w:val="0"/>
              </w:rPr>
            </w:pPr>
            <w:r>
              <w:rPr>
                <w:rFonts w:hint="eastAsia" w:ascii="宋体" w:hAnsi="宋体" w:cs="宋体"/>
                <w:color w:val="auto"/>
                <w:kern w:val="0"/>
              </w:rPr>
              <w:t>提供自</w:t>
            </w:r>
            <w:r>
              <w:rPr>
                <w:rFonts w:ascii="宋体" w:hAnsi="宋体" w:cs="宋体"/>
                <w:color w:val="auto"/>
                <w:kern w:val="0"/>
              </w:rPr>
              <w:t>202</w:t>
            </w:r>
            <w:r>
              <w:rPr>
                <w:rFonts w:hint="eastAsia" w:ascii="宋体" w:hAnsi="宋体" w:cs="宋体"/>
                <w:color w:val="auto"/>
                <w:kern w:val="0"/>
              </w:rPr>
              <w:t>1</w:t>
            </w:r>
            <w:r>
              <w:rPr>
                <w:rFonts w:ascii="宋体" w:hAnsi="宋体" w:cs="宋体"/>
                <w:color w:val="auto"/>
                <w:kern w:val="0"/>
              </w:rPr>
              <w:t>年</w:t>
            </w:r>
            <w:r>
              <w:rPr>
                <w:rFonts w:hint="eastAsia" w:ascii="宋体" w:hAnsi="宋体" w:cs="宋体"/>
                <w:color w:val="auto"/>
                <w:kern w:val="0"/>
                <w:lang w:val="en-US" w:eastAsia="zh-CN"/>
              </w:rPr>
              <w:t>4</w:t>
            </w:r>
            <w:r>
              <w:rPr>
                <w:rFonts w:ascii="宋体" w:hAnsi="宋体" w:cs="宋体"/>
                <w:color w:val="auto"/>
                <w:kern w:val="0"/>
              </w:rPr>
              <w:t>月1日以来</w:t>
            </w:r>
            <w:r>
              <w:rPr>
                <w:rFonts w:hint="eastAsia" w:ascii="宋体" w:hAnsi="宋体" w:cs="宋体"/>
                <w:color w:val="auto"/>
                <w:kern w:val="0"/>
                <w:lang w:val="en-US" w:eastAsia="zh-CN"/>
              </w:rPr>
              <w:t>职业教育线上</w:t>
            </w:r>
            <w:r>
              <w:rPr>
                <w:rFonts w:hint="eastAsia" w:ascii="宋体" w:hAnsi="宋体" w:cs="宋体"/>
                <w:color w:val="auto"/>
                <w:kern w:val="0"/>
              </w:rPr>
              <w:t>数字博物馆相关案例的业绩证明，每提供</w:t>
            </w:r>
            <w:r>
              <w:rPr>
                <w:rFonts w:ascii="宋体" w:hAnsi="宋体" w:cs="宋体"/>
                <w:color w:val="auto"/>
                <w:kern w:val="0"/>
              </w:rPr>
              <w:t>1份计</w:t>
            </w:r>
            <w:r>
              <w:rPr>
                <w:rFonts w:hint="eastAsia" w:ascii="宋体" w:hAnsi="宋体" w:cs="宋体"/>
                <w:color w:val="auto"/>
                <w:kern w:val="0"/>
                <w:lang w:val="en-US" w:eastAsia="zh-CN"/>
              </w:rPr>
              <w:t>5</w:t>
            </w:r>
            <w:r>
              <w:rPr>
                <w:rFonts w:ascii="宋体" w:hAnsi="宋体" w:cs="宋体"/>
                <w:color w:val="auto"/>
                <w:kern w:val="0"/>
              </w:rPr>
              <w:t>分，最多计</w:t>
            </w:r>
            <w:r>
              <w:rPr>
                <w:rFonts w:hint="eastAsia" w:ascii="宋体" w:hAnsi="宋体" w:cs="宋体"/>
                <w:color w:val="auto"/>
                <w:kern w:val="0"/>
                <w:lang w:val="en-US" w:eastAsia="zh-CN"/>
              </w:rPr>
              <w:t>15</w:t>
            </w:r>
            <w:r>
              <w:rPr>
                <w:rFonts w:ascii="宋体" w:hAnsi="宋体" w:cs="宋体"/>
                <w:color w:val="auto"/>
                <w:kern w:val="0"/>
              </w:rPr>
              <w:t>分</w:t>
            </w:r>
            <w:r>
              <w:rPr>
                <w:rFonts w:hint="eastAsia" w:ascii="宋体" w:hAnsi="宋体" w:cs="宋体"/>
                <w:color w:val="auto"/>
                <w:kern w:val="0"/>
              </w:rPr>
              <w:t>。</w:t>
            </w:r>
            <w:r>
              <w:rPr>
                <w:rFonts w:hint="eastAsia"/>
                <w:color w:val="auto"/>
              </w:rPr>
              <w:t>注：需提供证明材料，否则不得分。证明材料包括：合同关键页及参与制作或开发的内容截图。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8" w:hRule="atLeast"/>
          <w:jc w:val="center"/>
        </w:trPr>
        <w:tc>
          <w:tcPr>
            <w:tcW w:w="1058" w:type="dxa"/>
            <w:vMerge w:val="continue"/>
            <w:tcBorders>
              <w:left w:val="single" w:color="auto" w:sz="6" w:space="0"/>
              <w:right w:val="single" w:color="auto" w:sz="6" w:space="0"/>
            </w:tcBorders>
          </w:tcPr>
          <w:p>
            <w:pPr>
              <w:pStyle w:val="2"/>
              <w:keepNext/>
              <w:keepLines/>
              <w:overflowPunct w:val="0"/>
              <w:topLinePunct/>
              <w:spacing w:before="260" w:after="0"/>
              <w:jc w:val="center"/>
              <w:textAlignment w:val="top"/>
              <w:outlineLvl w:val="2"/>
              <w:rPr>
                <w:rFonts w:ascii="宋体" w:hAnsi="宋体" w:cs="宋体"/>
                <w:color w:val="auto"/>
                <w:kern w:val="0"/>
              </w:rPr>
            </w:pPr>
          </w:p>
        </w:tc>
        <w:tc>
          <w:tcPr>
            <w:tcW w:w="1036" w:type="dxa"/>
            <w:tcBorders>
              <w:top w:val="single" w:color="auto" w:sz="6" w:space="0"/>
              <w:left w:val="single" w:color="auto" w:sz="6" w:space="0"/>
              <w:right w:val="single" w:color="auto" w:sz="6" w:space="0"/>
            </w:tcBorders>
            <w:vAlign w:val="center"/>
          </w:tcPr>
          <w:p>
            <w:pPr>
              <w:snapToGrid w:val="0"/>
              <w:jc w:val="center"/>
              <w:rPr>
                <w:rFonts w:ascii="宋体" w:hAnsi="宋体" w:cs="宋体"/>
                <w:color w:val="auto"/>
                <w:kern w:val="0"/>
              </w:rPr>
            </w:pPr>
            <w:r>
              <w:rPr>
                <w:rFonts w:hint="eastAsia" w:ascii="宋体" w:hAnsi="宋体" w:cs="宋体"/>
                <w:color w:val="auto"/>
                <w:kern w:val="0"/>
              </w:rPr>
              <w:t>综合</w:t>
            </w:r>
          </w:p>
          <w:p>
            <w:pPr>
              <w:snapToGrid w:val="0"/>
              <w:jc w:val="center"/>
              <w:rPr>
                <w:rFonts w:ascii="宋体" w:hAnsi="宋体" w:cs="宋体"/>
                <w:color w:val="auto"/>
                <w:kern w:val="0"/>
              </w:rPr>
            </w:pPr>
            <w:r>
              <w:rPr>
                <w:rFonts w:hint="eastAsia" w:ascii="宋体" w:hAnsi="宋体" w:cs="宋体"/>
                <w:color w:val="auto"/>
                <w:kern w:val="0"/>
              </w:rPr>
              <w:t>实力</w:t>
            </w:r>
          </w:p>
        </w:tc>
        <w:tc>
          <w:tcPr>
            <w:tcW w:w="742" w:type="dxa"/>
            <w:tcBorders>
              <w:top w:val="single" w:color="auto" w:sz="6" w:space="0"/>
              <w:left w:val="single" w:color="auto" w:sz="6" w:space="0"/>
              <w:right w:val="single" w:color="auto" w:sz="6" w:space="0"/>
            </w:tcBorders>
            <w:vAlign w:val="center"/>
          </w:tcPr>
          <w:p>
            <w:pPr>
              <w:adjustRightInd w:val="0"/>
              <w:snapToGrid w:val="0"/>
              <w:jc w:val="center"/>
              <w:rPr>
                <w:rFonts w:hint="eastAsia" w:ascii="宋体" w:hAnsi="宋体" w:cs="宋体" w:eastAsiaTheme="minorEastAsia"/>
                <w:color w:val="auto"/>
                <w:kern w:val="0"/>
                <w:lang w:eastAsia="zh-CN"/>
              </w:rPr>
            </w:pPr>
            <w:r>
              <w:rPr>
                <w:rFonts w:hint="eastAsia" w:ascii="宋体" w:hAnsi="宋体" w:cs="宋体"/>
                <w:color w:val="auto"/>
                <w:kern w:val="0"/>
                <w:lang w:val="en-US" w:eastAsia="zh-CN"/>
              </w:rPr>
              <w:t>4</w:t>
            </w:r>
          </w:p>
        </w:tc>
        <w:tc>
          <w:tcPr>
            <w:tcW w:w="6802" w:type="dxa"/>
            <w:tcBorders>
              <w:top w:val="single" w:color="auto" w:sz="6" w:space="0"/>
              <w:left w:val="single" w:color="auto" w:sz="6" w:space="0"/>
              <w:right w:val="single" w:color="auto" w:sz="6" w:space="0"/>
            </w:tcBorders>
            <w:vAlign w:val="center"/>
          </w:tcPr>
          <w:p>
            <w:pPr>
              <w:pStyle w:val="3"/>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rPr>
              <w:t>投标人需具备专业技术履行能力，承诺所承接内容能对接</w:t>
            </w:r>
            <w:r>
              <w:rPr>
                <w:rFonts w:hint="eastAsia" w:cs="宋体" w:asciiTheme="minorEastAsia" w:hAnsiTheme="minorEastAsia" w:eastAsiaTheme="minorEastAsia"/>
                <w:color w:val="auto"/>
                <w:sz w:val="21"/>
                <w:szCs w:val="21"/>
                <w:lang w:val="en-US" w:eastAsia="zh-CN"/>
              </w:rPr>
              <w:t>项目所在地省级</w:t>
            </w:r>
            <w:r>
              <w:rPr>
                <w:rFonts w:hint="eastAsia" w:cs="宋体" w:asciiTheme="minorEastAsia" w:hAnsiTheme="minorEastAsia" w:eastAsiaTheme="minorEastAsia"/>
                <w:color w:val="auto"/>
                <w:sz w:val="21"/>
                <w:szCs w:val="21"/>
              </w:rPr>
              <w:t>职业教育智慧教育平台</w:t>
            </w:r>
            <w:r>
              <w:rPr>
                <w:rFonts w:hint="eastAsia" w:cs="宋体" w:asciiTheme="minorEastAsia" w:hAnsiTheme="minorEastAsia" w:eastAsiaTheme="minorEastAsia"/>
                <w:color w:val="auto"/>
                <w:sz w:val="21"/>
                <w:szCs w:val="21"/>
                <w:lang w:val="en-US" w:eastAsia="zh-CN"/>
              </w:rPr>
              <w:t>和国家</w:t>
            </w:r>
            <w:r>
              <w:rPr>
                <w:rFonts w:hint="eastAsia" w:cs="宋体" w:asciiTheme="minorEastAsia" w:hAnsiTheme="minorEastAsia" w:eastAsiaTheme="minorEastAsia"/>
                <w:color w:val="auto"/>
                <w:sz w:val="21"/>
                <w:szCs w:val="21"/>
              </w:rPr>
              <w:t>职业教育智慧教育平台，符合职业教育智慧教育平台技术标准，需提供部门授权的具备技术对接资质的证明文件，提供计</w:t>
            </w:r>
            <w:r>
              <w:rPr>
                <w:rFonts w:hint="eastAsia" w:cs="宋体" w:asciiTheme="minorEastAsia" w:hAnsiTheme="minorEastAsia" w:eastAsiaTheme="minorEastAsia"/>
                <w:color w:val="auto"/>
                <w:sz w:val="21"/>
                <w:szCs w:val="21"/>
                <w:lang w:val="en-US" w:eastAsia="zh-CN"/>
              </w:rPr>
              <w:t>4</w:t>
            </w:r>
            <w:r>
              <w:rPr>
                <w:rFonts w:hint="eastAsia" w:cs="宋体" w:asciiTheme="minorEastAsia" w:hAnsiTheme="minorEastAsia" w:eastAsiaTheme="minorEastAsia"/>
                <w:color w:val="auto"/>
                <w:sz w:val="21"/>
                <w:szCs w:val="21"/>
              </w:rPr>
              <w:t>分，未提供不得分。</w:t>
            </w:r>
            <w:r>
              <w:rPr>
                <w:rFonts w:hint="eastAsia" w:cs="宋体" w:asciiTheme="minorEastAsia" w:hAnsiTheme="minorEastAsia" w:eastAsiaTheme="minorEastAsia"/>
                <w:color w:val="auto"/>
                <w:sz w:val="21"/>
                <w:szCs w:val="21"/>
                <w:lang w:eastAsia="zh-CN"/>
              </w:rPr>
              <w:t>（</w:t>
            </w:r>
            <w:r>
              <w:rPr>
                <w:rFonts w:hint="eastAsia" w:cs="宋体" w:asciiTheme="minorEastAsia" w:hAnsiTheme="minorEastAsia" w:eastAsiaTheme="minorEastAsia"/>
                <w:color w:val="auto"/>
                <w:sz w:val="21"/>
                <w:szCs w:val="21"/>
                <w:lang w:val="en-US" w:eastAsia="zh-CN"/>
              </w:rPr>
              <w:t>提供相关证明材料加盖公章</w:t>
            </w:r>
            <w:r>
              <w:rPr>
                <w:rFonts w:hint="eastAsia" w:cs="宋体" w:asciiTheme="minorEastAsia" w:hAnsiTheme="minorEastAsia" w:eastAsiaTheme="minorEastAsia"/>
                <w:color w:val="auto"/>
                <w:sz w:val="21"/>
                <w:szCs w:val="21"/>
                <w:lang w:eastAsia="zh-CN"/>
              </w:rPr>
              <w:t>）</w:t>
            </w:r>
          </w:p>
          <w:p>
            <w:pPr>
              <w:pStyle w:val="3"/>
              <w:rPr>
                <w:rFonts w:cs="宋体" w:asciiTheme="minorEastAsia" w:hAnsiTheme="minorEastAsia" w:eastAsiaTheme="minorEastAsia"/>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1058" w:type="dxa"/>
            <w:vMerge w:val="continue"/>
            <w:tcBorders>
              <w:left w:val="single" w:color="auto" w:sz="6" w:space="0"/>
              <w:right w:val="single" w:color="auto" w:sz="6" w:space="0"/>
            </w:tcBorders>
          </w:tcPr>
          <w:p>
            <w:pPr>
              <w:pStyle w:val="2"/>
              <w:keepNext/>
              <w:keepLines/>
              <w:overflowPunct w:val="0"/>
              <w:topLinePunct/>
              <w:spacing w:before="260" w:after="0"/>
              <w:jc w:val="center"/>
              <w:textAlignment w:val="top"/>
              <w:outlineLvl w:val="2"/>
              <w:rPr>
                <w:rFonts w:ascii="宋体" w:hAnsi="宋体" w:cs="宋体"/>
                <w:color w:val="auto"/>
                <w:kern w:val="0"/>
              </w:rPr>
            </w:pPr>
          </w:p>
        </w:tc>
        <w:tc>
          <w:tcPr>
            <w:tcW w:w="1036" w:type="dxa"/>
            <w:tcBorders>
              <w:top w:val="single" w:color="auto" w:sz="6" w:space="0"/>
              <w:left w:val="single" w:color="auto" w:sz="6" w:space="0"/>
              <w:bottom w:val="single" w:color="auto" w:sz="4" w:space="0"/>
              <w:right w:val="single" w:color="auto" w:sz="6" w:space="0"/>
            </w:tcBorders>
            <w:vAlign w:val="center"/>
          </w:tcPr>
          <w:p>
            <w:pPr>
              <w:snapToGrid w:val="0"/>
              <w:jc w:val="center"/>
              <w:rPr>
                <w:rFonts w:hint="eastAsia" w:ascii="宋体" w:hAnsi="宋体" w:eastAsia="宋体" w:cs="宋体"/>
                <w:color w:val="auto"/>
                <w:szCs w:val="21"/>
              </w:rPr>
            </w:pPr>
            <w:r>
              <w:rPr>
                <w:rFonts w:hint="eastAsia" w:ascii="宋体" w:hAnsi="宋体" w:eastAsia="宋体" w:cs="宋体"/>
                <w:color w:val="auto"/>
                <w:szCs w:val="21"/>
              </w:rPr>
              <w:t>技术</w:t>
            </w:r>
          </w:p>
          <w:p>
            <w:pPr>
              <w:snapToGrid w:val="0"/>
              <w:jc w:val="center"/>
              <w:rPr>
                <w:rFonts w:hint="default" w:ascii="宋体" w:hAnsi="宋体" w:cs="宋体" w:eastAsiaTheme="minorEastAsia"/>
                <w:color w:val="auto"/>
                <w:kern w:val="0"/>
                <w:lang w:val="en-US" w:eastAsia="zh-CN"/>
              </w:rPr>
            </w:pPr>
            <w:r>
              <w:rPr>
                <w:rFonts w:hint="eastAsia" w:ascii="宋体" w:hAnsi="宋体" w:cs="宋体"/>
                <w:color w:val="auto"/>
                <w:kern w:val="0"/>
                <w:lang w:val="en-US" w:eastAsia="zh-CN"/>
              </w:rPr>
              <w:t>能力</w:t>
            </w:r>
          </w:p>
        </w:tc>
        <w:tc>
          <w:tcPr>
            <w:tcW w:w="742" w:type="dxa"/>
            <w:tcBorders>
              <w:top w:val="single" w:color="auto" w:sz="6" w:space="0"/>
              <w:left w:val="single" w:color="auto" w:sz="6" w:space="0"/>
              <w:bottom w:val="single" w:color="auto" w:sz="4" w:space="0"/>
              <w:right w:val="single" w:color="auto" w:sz="6" w:space="0"/>
            </w:tcBorders>
            <w:vAlign w:val="center"/>
          </w:tcPr>
          <w:p>
            <w:pPr>
              <w:pStyle w:val="3"/>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3</w:t>
            </w:r>
          </w:p>
        </w:tc>
        <w:tc>
          <w:tcPr>
            <w:tcW w:w="6802" w:type="dxa"/>
            <w:tcBorders>
              <w:top w:val="single" w:color="auto" w:sz="6" w:space="0"/>
              <w:left w:val="single" w:color="auto" w:sz="6" w:space="0"/>
              <w:bottom w:val="single" w:color="auto" w:sz="4" w:space="0"/>
              <w:right w:val="single" w:color="auto" w:sz="6" w:space="0"/>
            </w:tcBorders>
            <w:vAlign w:val="center"/>
          </w:tcPr>
          <w:p>
            <w:pPr>
              <w:pStyle w:val="3"/>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val="en-US" w:eastAsia="zh-CN"/>
              </w:rPr>
              <w:t>投标人须提供由国家版权中心颁布的虚拟仿真云平台软件相关的著作权有效证书，</w:t>
            </w:r>
            <w:r>
              <w:rPr>
                <w:rFonts w:hint="eastAsia" w:cs="宋体" w:asciiTheme="minorEastAsia" w:hAnsiTheme="minorEastAsia" w:eastAsiaTheme="minorEastAsia"/>
                <w:color w:val="auto"/>
                <w:sz w:val="21"/>
                <w:szCs w:val="21"/>
                <w:highlight w:val="none"/>
              </w:rPr>
              <w:t>提供计</w:t>
            </w:r>
            <w:r>
              <w:rPr>
                <w:rFonts w:hint="eastAsia" w:cs="宋体" w:asciiTheme="minorEastAsia" w:hAnsiTheme="minorEastAsia" w:eastAsiaTheme="minorEastAsia"/>
                <w:color w:val="auto"/>
                <w:sz w:val="21"/>
                <w:szCs w:val="21"/>
                <w:highlight w:val="none"/>
                <w:lang w:val="en-US" w:eastAsia="zh-CN"/>
              </w:rPr>
              <w:t>3</w:t>
            </w:r>
            <w:r>
              <w:rPr>
                <w:rFonts w:cs="宋体" w:asciiTheme="minorEastAsia" w:hAnsiTheme="minorEastAsia" w:eastAsiaTheme="minorEastAsia"/>
                <w:color w:val="auto"/>
                <w:sz w:val="21"/>
                <w:szCs w:val="21"/>
                <w:highlight w:val="none"/>
              </w:rPr>
              <w:t>分</w:t>
            </w:r>
            <w:r>
              <w:rPr>
                <w:rFonts w:hint="eastAsia" w:cs="宋体" w:asciiTheme="minorEastAsia" w:hAnsiTheme="minorEastAsia" w:eastAsiaTheme="minorEastAsia"/>
                <w:color w:val="auto"/>
                <w:sz w:val="21"/>
                <w:szCs w:val="21"/>
                <w:highlight w:val="none"/>
              </w:rPr>
              <w:t>，未提供不得分</w:t>
            </w:r>
            <w:r>
              <w:rPr>
                <w:rFonts w:cs="宋体" w:asciiTheme="minorEastAsia" w:hAnsiTheme="minorEastAsia" w:eastAsiaTheme="minorEastAsia"/>
                <w:color w:val="auto"/>
                <w:sz w:val="21"/>
                <w:szCs w:val="21"/>
                <w:highlight w:val="none"/>
              </w:rPr>
              <w:t>。</w:t>
            </w:r>
          </w:p>
          <w:p>
            <w:pPr>
              <w:pStyle w:val="3"/>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val="en-US" w:eastAsia="zh-CN"/>
              </w:rPr>
              <w:t>（需提供证书</w:t>
            </w:r>
            <w:r>
              <w:rPr>
                <w:rFonts w:hint="eastAsia" w:cs="宋体" w:asciiTheme="minorEastAsia" w:hAnsiTheme="minorEastAsia" w:eastAsiaTheme="minorEastAsia"/>
                <w:color w:val="auto"/>
                <w:sz w:val="21"/>
                <w:szCs w:val="21"/>
                <w:highlight w:val="none"/>
              </w:rPr>
              <w:t>复印件</w:t>
            </w:r>
            <w:r>
              <w:rPr>
                <w:rFonts w:hint="eastAsia" w:cs="宋体" w:asciiTheme="minorEastAsia" w:hAnsiTheme="minorEastAsia" w:eastAsiaTheme="minorEastAsia"/>
                <w:color w:val="auto"/>
                <w:sz w:val="21"/>
                <w:szCs w:val="21"/>
                <w:highlight w:val="none"/>
                <w:lang w:val="en-US" w:eastAsia="zh-CN"/>
              </w:rPr>
              <w:t>加盖公章</w:t>
            </w: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原件备查</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1058" w:type="dxa"/>
            <w:vMerge w:val="continue"/>
            <w:tcBorders>
              <w:left w:val="single" w:color="auto" w:sz="6" w:space="0"/>
              <w:right w:val="single" w:color="auto" w:sz="6" w:space="0"/>
            </w:tcBorders>
          </w:tcPr>
          <w:p>
            <w:pPr>
              <w:pStyle w:val="2"/>
              <w:keepNext/>
              <w:keepLines/>
              <w:overflowPunct w:val="0"/>
              <w:topLinePunct/>
              <w:spacing w:before="260" w:after="0"/>
              <w:jc w:val="center"/>
              <w:textAlignment w:val="top"/>
              <w:outlineLvl w:val="2"/>
              <w:rPr>
                <w:rFonts w:ascii="宋体" w:hAnsi="宋体" w:cs="宋体"/>
                <w:color w:val="auto"/>
                <w:kern w:val="0"/>
              </w:rPr>
            </w:pPr>
          </w:p>
        </w:tc>
        <w:tc>
          <w:tcPr>
            <w:tcW w:w="1036" w:type="dxa"/>
            <w:tcBorders>
              <w:top w:val="single" w:color="auto" w:sz="4" w:space="0"/>
              <w:left w:val="single" w:color="auto" w:sz="6" w:space="0"/>
              <w:right w:val="single" w:color="auto" w:sz="6" w:space="0"/>
            </w:tcBorders>
            <w:vAlign w:val="center"/>
          </w:tcPr>
          <w:p>
            <w:pPr>
              <w:snapToGrid w:val="0"/>
              <w:jc w:val="center"/>
              <w:rPr>
                <w:rFonts w:hint="default" w:ascii="宋体" w:hAnsi="宋体" w:cs="宋体"/>
                <w:color w:val="auto"/>
                <w:kern w:val="0"/>
                <w:lang w:val="en-US" w:eastAsia="zh-CN"/>
              </w:rPr>
            </w:pPr>
            <w:r>
              <w:rPr>
                <w:rFonts w:hint="eastAsia" w:ascii="宋体" w:hAnsi="宋体" w:eastAsia="宋体" w:cs="宋体"/>
                <w:color w:val="auto"/>
                <w:kern w:val="0"/>
                <w:szCs w:val="21"/>
                <w:lang w:val="en-US" w:eastAsia="zh-CN"/>
              </w:rPr>
              <w:t>售后服务方案及培训服务方案</w:t>
            </w:r>
          </w:p>
        </w:tc>
        <w:tc>
          <w:tcPr>
            <w:tcW w:w="742" w:type="dxa"/>
            <w:tcBorders>
              <w:top w:val="single" w:color="auto" w:sz="4" w:space="0"/>
              <w:left w:val="single" w:color="auto" w:sz="6" w:space="0"/>
              <w:right w:val="single" w:color="auto" w:sz="6" w:space="0"/>
            </w:tcBorders>
            <w:vAlign w:val="center"/>
          </w:tcPr>
          <w:p>
            <w:pPr>
              <w:pStyle w:val="3"/>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8</w:t>
            </w:r>
          </w:p>
        </w:tc>
        <w:tc>
          <w:tcPr>
            <w:tcW w:w="6802" w:type="dxa"/>
            <w:tcBorders>
              <w:top w:val="single" w:color="auto" w:sz="4"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color w:val="auto"/>
                <w:highlight w:val="none"/>
                <w:lang w:val="en-US" w:eastAsia="zh-CN"/>
              </w:rPr>
            </w:pPr>
            <w:r>
              <w:rPr>
                <w:rFonts w:hint="eastAsia" w:ascii="宋体" w:hAnsi="宋体" w:eastAsia="宋体" w:cs="宋体"/>
                <w:color w:val="auto"/>
                <w:kern w:val="0"/>
                <w:szCs w:val="21"/>
                <w:highlight w:val="none"/>
                <w:lang w:val="en-US" w:eastAsia="zh-CN"/>
              </w:rPr>
              <w:t>1.评标委员会根据投标人提供的售后服务方案包括：售后服务体系、售后技术人员配备、售后服务承诺。</w:t>
            </w:r>
            <w:r>
              <w:rPr>
                <w:rFonts w:hint="eastAsia" w:ascii="宋体" w:hAnsi="宋体" w:eastAsia="宋体" w:cs="宋体"/>
                <w:color w:val="auto"/>
                <w:kern w:val="0"/>
                <w:sz w:val="21"/>
                <w:szCs w:val="21"/>
                <w:highlight w:val="none"/>
                <w:lang w:val="en-US" w:eastAsia="zh-CN"/>
              </w:rPr>
              <w:t>售后服务体系完善，售后技术人员配备齐全，售后服务承诺切实可行、承诺响应时间用时短的，得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2.评标委员会根据投标人提供的培训服务方案：包括培训人员配备、培训内容。培训人员配备很齐全，培训内容很全面、可行性很强的，得</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分；</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以上方案每出现一处方案缺漏或描述不完整或不符合采购需求的扣</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分，扣完为止。未提供不得分（不符合采购需求是指：非专门针对本项目或不适应本项目情形、内容不完整缺少关键节点、套用其他项目方案、内容前后矛盾、涉及的规范及标准错误、不利于项目实施等任意一种情形）</w:t>
            </w:r>
          </w:p>
          <w:p>
            <w:pPr>
              <w:pStyle w:val="3"/>
              <w:rPr>
                <w:rFonts w:hint="eastAsia" w:cs="宋体" w:asciiTheme="minorEastAsia" w:hAnsiTheme="minorEastAsia" w:eastAsiaTheme="minorEastAsia"/>
                <w:color w:val="auto"/>
                <w:sz w:val="21"/>
                <w:szCs w:val="21"/>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058" w:type="dxa"/>
            <w:vMerge w:val="restart"/>
            <w:tcBorders>
              <w:left w:val="single" w:color="auto" w:sz="6" w:space="0"/>
              <w:right w:val="single" w:color="auto" w:sz="6" w:space="0"/>
            </w:tcBorders>
            <w:vAlign w:val="center"/>
          </w:tcPr>
          <w:p>
            <w:pPr>
              <w:jc w:val="center"/>
              <w:rPr>
                <w:rFonts w:cs="等线" w:asciiTheme="minorEastAsia" w:hAnsiTheme="minorEastAsia"/>
                <w:color w:val="auto"/>
                <w:kern w:val="0"/>
              </w:rPr>
            </w:pPr>
            <w:r>
              <w:rPr>
                <w:rFonts w:hint="eastAsia" w:cs="等线" w:asciiTheme="minorEastAsia" w:hAnsiTheme="minorEastAsia"/>
                <w:color w:val="auto"/>
                <w:kern w:val="0"/>
              </w:rPr>
              <w:t>技术</w:t>
            </w:r>
          </w:p>
          <w:p>
            <w:pPr>
              <w:jc w:val="center"/>
              <w:rPr>
                <w:rFonts w:cs="等线" w:asciiTheme="minorEastAsia" w:hAnsiTheme="minorEastAsia"/>
                <w:color w:val="auto"/>
                <w:kern w:val="0"/>
              </w:rPr>
            </w:pPr>
            <w:r>
              <w:rPr>
                <w:rFonts w:hint="eastAsia" w:cs="等线" w:asciiTheme="minorEastAsia" w:hAnsiTheme="minorEastAsia"/>
                <w:color w:val="auto"/>
                <w:kern w:val="0"/>
              </w:rPr>
              <w:t>部分</w:t>
            </w:r>
          </w:p>
          <w:p>
            <w:pPr>
              <w:jc w:val="center"/>
              <w:rPr>
                <w:rFonts w:cs="等线" w:asciiTheme="minorEastAsia" w:hAnsiTheme="minorEastAsia"/>
                <w:color w:val="auto"/>
                <w:kern w:val="0"/>
              </w:rPr>
            </w:pPr>
            <w:r>
              <w:rPr>
                <w:rFonts w:cs="等线" w:asciiTheme="minorEastAsia" w:hAnsiTheme="minorEastAsia"/>
                <w:color w:val="auto"/>
                <w:kern w:val="0"/>
              </w:rPr>
              <w:t>(</w:t>
            </w:r>
            <w:r>
              <w:rPr>
                <w:rFonts w:hint="eastAsia" w:cs="等线" w:asciiTheme="minorEastAsia" w:hAnsiTheme="minorEastAsia"/>
                <w:color w:val="auto"/>
                <w:kern w:val="0"/>
                <w:lang w:val="en-US" w:eastAsia="zh-CN"/>
              </w:rPr>
              <w:t>50</w:t>
            </w:r>
            <w:r>
              <w:rPr>
                <w:rFonts w:hint="eastAsia" w:cs="等线" w:asciiTheme="minorEastAsia" w:hAnsiTheme="minorEastAsia"/>
                <w:color w:val="auto"/>
                <w:kern w:val="0"/>
              </w:rPr>
              <w:t>分</w:t>
            </w:r>
            <w:r>
              <w:rPr>
                <w:rFonts w:cs="等线" w:asciiTheme="minorEastAsia" w:hAnsiTheme="minorEastAsia"/>
                <w:color w:val="auto"/>
                <w:kern w:val="0"/>
              </w:rPr>
              <w:t>)</w:t>
            </w:r>
          </w:p>
        </w:tc>
        <w:tc>
          <w:tcPr>
            <w:tcW w:w="1036" w:type="dxa"/>
            <w:tcBorders>
              <w:top w:val="single" w:color="auto" w:sz="6" w:space="0"/>
              <w:left w:val="single" w:color="auto" w:sz="6" w:space="0"/>
              <w:right w:val="single" w:color="auto" w:sz="6" w:space="0"/>
            </w:tcBorders>
            <w:vAlign w:val="center"/>
          </w:tcPr>
          <w:p>
            <w:pPr>
              <w:snapToGrid w:val="0"/>
              <w:jc w:val="center"/>
              <w:rPr>
                <w:rFonts w:ascii="宋体" w:hAnsi="宋体" w:cs="宋体"/>
                <w:color w:val="auto"/>
                <w:kern w:val="0"/>
              </w:rPr>
            </w:pPr>
            <w:r>
              <w:rPr>
                <w:rFonts w:hint="eastAsia" w:ascii="宋体" w:hAnsi="宋体" w:cs="宋体"/>
                <w:color w:val="auto"/>
                <w:kern w:val="0"/>
              </w:rPr>
              <w:t>功能</w:t>
            </w:r>
          </w:p>
          <w:p>
            <w:pPr>
              <w:snapToGrid w:val="0"/>
              <w:jc w:val="center"/>
              <w:rPr>
                <w:color w:val="auto"/>
              </w:rPr>
            </w:pPr>
            <w:r>
              <w:rPr>
                <w:rFonts w:hint="eastAsia" w:ascii="宋体" w:hAnsi="宋体" w:cs="宋体"/>
                <w:color w:val="auto"/>
                <w:kern w:val="0"/>
              </w:rPr>
              <w:t>演示</w:t>
            </w:r>
          </w:p>
        </w:tc>
        <w:tc>
          <w:tcPr>
            <w:tcW w:w="742" w:type="dxa"/>
            <w:tcBorders>
              <w:top w:val="single" w:color="auto" w:sz="6" w:space="0"/>
              <w:left w:val="single" w:color="auto" w:sz="6" w:space="0"/>
              <w:right w:val="single" w:color="auto" w:sz="6" w:space="0"/>
            </w:tcBorders>
            <w:vAlign w:val="center"/>
          </w:tcPr>
          <w:p>
            <w:pPr>
              <w:adjustRightInd w:val="0"/>
              <w:snapToGrid w:val="0"/>
              <w:jc w:val="center"/>
              <w:rPr>
                <w:rFonts w:hint="default" w:ascii="宋体" w:hAnsi="宋体" w:cs="宋体" w:eastAsiaTheme="minorEastAsia"/>
                <w:color w:val="auto"/>
                <w:kern w:val="0"/>
                <w:highlight w:val="none"/>
                <w:lang w:val="en-US" w:eastAsia="zh-CN"/>
              </w:rPr>
            </w:pPr>
            <w:r>
              <w:rPr>
                <w:rFonts w:hint="eastAsia" w:ascii="宋体" w:hAnsi="宋体" w:cs="宋体"/>
                <w:color w:val="auto"/>
                <w:kern w:val="0"/>
                <w:highlight w:val="none"/>
                <w:lang w:val="en-US" w:eastAsia="zh-CN"/>
              </w:rPr>
              <w:t>20</w:t>
            </w:r>
          </w:p>
        </w:tc>
        <w:tc>
          <w:tcPr>
            <w:tcW w:w="6802" w:type="dxa"/>
            <w:tcBorders>
              <w:top w:val="single" w:color="auto" w:sz="6" w:space="0"/>
              <w:left w:val="single" w:color="auto" w:sz="6" w:space="0"/>
              <w:right w:val="single" w:color="auto" w:sz="6" w:space="0"/>
            </w:tcBorders>
            <w:vAlign w:val="center"/>
          </w:tcPr>
          <w:p>
            <w:pPr>
              <w:rPr>
                <w:rFonts w:ascii="宋体" w:hAnsi="宋体" w:cs="宋体"/>
                <w:color w:val="auto"/>
                <w:kern w:val="0"/>
                <w:highlight w:val="none"/>
              </w:rPr>
            </w:pPr>
            <w:r>
              <w:rPr>
                <w:rFonts w:hint="eastAsia" w:ascii="宋体" w:hAnsi="宋体" w:cs="宋体"/>
                <w:color w:val="auto"/>
                <w:kern w:val="0"/>
                <w:highlight w:val="none"/>
              </w:rPr>
              <w:t>投标人需自带演示设备（含移动端、PC端）对</w:t>
            </w:r>
            <w:r>
              <w:rPr>
                <w:rFonts w:hint="eastAsia" w:ascii="宋体" w:hAnsi="宋体" w:cs="宋体"/>
                <w:color w:val="auto"/>
                <w:kern w:val="0"/>
                <w:highlight w:val="none"/>
                <w:lang w:val="en-US" w:eastAsia="zh-CN"/>
              </w:rPr>
              <w:t>职业教育线上</w:t>
            </w:r>
            <w:r>
              <w:rPr>
                <w:rFonts w:hint="eastAsia" w:ascii="宋体" w:hAnsi="宋体" w:cs="宋体"/>
                <w:color w:val="auto"/>
                <w:kern w:val="0"/>
                <w:highlight w:val="none"/>
              </w:rPr>
              <w:t>数字博物馆相关的案例进行现场演示，演示内容包括历史馆、产品馆、体验馆、文化馆、企业馆的功能和资源展示，演示时间不得超过20分钟，演示内容要求呈现系统功能设计的完整性及良好的交付体验感，符合专业需求；根据投标人的演示优劣酌情打分，若每项功能完全满足计</w:t>
            </w:r>
            <w:r>
              <w:rPr>
                <w:rFonts w:hint="eastAsia" w:ascii="宋体" w:hAnsi="宋体" w:cs="宋体"/>
                <w:color w:val="auto"/>
                <w:kern w:val="0"/>
                <w:highlight w:val="none"/>
                <w:lang w:val="en-US" w:eastAsia="zh-CN"/>
              </w:rPr>
              <w:t>每个单项计4</w:t>
            </w:r>
            <w:r>
              <w:rPr>
                <w:rFonts w:hint="eastAsia" w:ascii="宋体" w:hAnsi="宋体" w:cs="宋体"/>
                <w:color w:val="auto"/>
                <w:kern w:val="0"/>
                <w:highlight w:val="none"/>
              </w:rPr>
              <w:t>分，基本满足</w:t>
            </w:r>
            <w:r>
              <w:rPr>
                <w:rFonts w:hint="eastAsia" w:ascii="宋体" w:hAnsi="宋体" w:cs="宋体"/>
                <w:color w:val="auto"/>
                <w:kern w:val="0"/>
                <w:highlight w:val="none"/>
                <w:lang w:val="en-US" w:eastAsia="zh-CN"/>
              </w:rPr>
              <w:t>每个单项</w:t>
            </w:r>
            <w:r>
              <w:rPr>
                <w:rFonts w:hint="eastAsia" w:ascii="宋体" w:hAnsi="宋体" w:cs="宋体"/>
                <w:color w:val="auto"/>
                <w:kern w:val="0"/>
                <w:highlight w:val="none"/>
              </w:rPr>
              <w:t>计3分，不满足计0分。</w:t>
            </w:r>
          </w:p>
          <w:p>
            <w:pPr>
              <w:rPr>
                <w:rFonts w:hint="eastAsia" w:ascii="宋体" w:hAnsi="宋体" w:cs="宋体"/>
                <w:color w:val="auto"/>
                <w:kern w:val="0"/>
                <w:highlight w:val="none"/>
              </w:rPr>
            </w:pPr>
            <w:r>
              <w:rPr>
                <w:rFonts w:hint="eastAsia" w:ascii="宋体" w:hAnsi="宋体" w:cs="宋体"/>
                <w:b/>
                <w:bCs/>
                <w:color w:val="auto"/>
                <w:kern w:val="0"/>
                <w:highlight w:val="none"/>
              </w:rPr>
              <w:t>1.</w:t>
            </w:r>
            <w:r>
              <w:rPr>
                <w:rFonts w:hint="eastAsia" w:ascii="宋体" w:hAnsi="宋体" w:cs="宋体"/>
                <w:color w:val="auto"/>
                <w:kern w:val="0"/>
                <w:highlight w:val="none"/>
              </w:rPr>
              <w:t>历史馆：展示行业发展简史进行展示。支持3D虚拟场景为背景，支持2D/3D数字人讲解，界面具备动态效果，具备视频播放功能。</w:t>
            </w:r>
          </w:p>
          <w:p>
            <w:pPr>
              <w:rPr>
                <w:rFonts w:hint="eastAsia" w:ascii="宋体" w:hAnsi="宋体" w:cs="宋体"/>
                <w:color w:val="auto"/>
                <w:kern w:val="0"/>
                <w:highlight w:val="none"/>
              </w:rPr>
            </w:pPr>
            <w:r>
              <w:rPr>
                <w:rFonts w:hint="eastAsia" w:ascii="宋体" w:hAnsi="宋体" w:cs="宋体"/>
                <w:b/>
                <w:bCs/>
                <w:color w:val="auto"/>
                <w:kern w:val="0"/>
                <w:highlight w:val="none"/>
              </w:rPr>
              <w:t>2.</w:t>
            </w:r>
            <w:r>
              <w:rPr>
                <w:rFonts w:hint="eastAsia" w:ascii="宋体" w:hAnsi="宋体" w:cs="宋体"/>
                <w:color w:val="auto"/>
                <w:kern w:val="0"/>
                <w:highlight w:val="none"/>
              </w:rPr>
              <w:t>产品馆：主要展现行业典型工作设备及产品，具备典型产品设备的基本介绍、组成等方面进行动态直观的展示功能；支持3D虚拟场景为背景，具备语音讲解功能；画面展示效果采用视频</w:t>
            </w:r>
            <w:r>
              <w:rPr>
                <w:rFonts w:hint="eastAsia" w:ascii="宋体" w:hAnsi="宋体" w:cs="宋体"/>
                <w:color w:val="auto"/>
                <w:kern w:val="0"/>
                <w:highlight w:val="none"/>
                <w:lang w:val="en-US" w:eastAsia="zh-CN"/>
              </w:rPr>
              <w:t>或</w:t>
            </w:r>
            <w:r>
              <w:rPr>
                <w:rFonts w:hint="eastAsia" w:ascii="宋体" w:hAnsi="宋体" w:cs="宋体"/>
                <w:color w:val="auto"/>
                <w:kern w:val="0"/>
                <w:highlight w:val="none"/>
              </w:rPr>
              <w:t>文字、图片等方式。</w:t>
            </w:r>
          </w:p>
          <w:p>
            <w:pPr>
              <w:rPr>
                <w:rFonts w:hint="eastAsia" w:ascii="宋体" w:hAnsi="宋体" w:cs="宋体"/>
                <w:color w:val="auto"/>
                <w:kern w:val="0"/>
                <w:highlight w:val="none"/>
              </w:rPr>
            </w:pPr>
            <w:r>
              <w:rPr>
                <w:rFonts w:hint="eastAsia" w:ascii="宋体" w:hAnsi="宋体" w:cs="宋体"/>
                <w:b/>
                <w:bCs/>
                <w:color w:val="auto"/>
                <w:kern w:val="0"/>
                <w:highlight w:val="none"/>
              </w:rPr>
              <w:t>3</w:t>
            </w:r>
            <w:r>
              <w:rPr>
                <w:rFonts w:hint="eastAsia" w:ascii="宋体" w:hAnsi="宋体" w:cs="宋体"/>
                <w:color w:val="auto"/>
                <w:kern w:val="0"/>
                <w:highlight w:val="none"/>
              </w:rPr>
              <w:t>.体验馆：通过视频展示、动画表现、虚拟现实、互动实现等技术手段再现行业的典型岗位及典型工作场景；场馆具有语音介绍功能，以3D虚拟场景为背景构建体验馆子界面，呈现职业介绍和职业体验内容，具备3D模型显示功能。</w:t>
            </w:r>
          </w:p>
          <w:p>
            <w:pPr>
              <w:rPr>
                <w:rFonts w:hint="eastAsia" w:ascii="宋体" w:hAnsi="宋体" w:cs="宋体"/>
                <w:color w:val="auto"/>
                <w:kern w:val="0"/>
                <w:highlight w:val="none"/>
              </w:rPr>
            </w:pPr>
            <w:r>
              <w:rPr>
                <w:rFonts w:hint="eastAsia" w:ascii="宋体" w:hAnsi="宋体" w:cs="宋体"/>
                <w:b/>
                <w:bCs/>
                <w:color w:val="auto"/>
                <w:kern w:val="0"/>
                <w:highlight w:val="none"/>
              </w:rPr>
              <w:t>4</w:t>
            </w:r>
            <w:r>
              <w:rPr>
                <w:rFonts w:hint="eastAsia" w:ascii="宋体" w:hAnsi="宋体" w:cs="宋体"/>
                <w:color w:val="auto"/>
                <w:kern w:val="0"/>
                <w:highlight w:val="none"/>
              </w:rPr>
              <w:t>.文化馆：主要展示本行业的名师名匠、故事事件、职业精神等主题，以3D虚拟场景为背景构建文化馆子界面；以图文</w:t>
            </w:r>
            <w:r>
              <w:rPr>
                <w:rFonts w:hint="eastAsia" w:ascii="宋体" w:hAnsi="宋体" w:cs="宋体"/>
                <w:color w:val="auto"/>
                <w:kern w:val="0"/>
                <w:highlight w:val="none"/>
                <w:lang w:val="en-US" w:eastAsia="zh-CN"/>
              </w:rPr>
              <w:t>或</w:t>
            </w:r>
            <w:r>
              <w:rPr>
                <w:rFonts w:hint="eastAsia" w:ascii="宋体" w:hAnsi="宋体" w:cs="宋体"/>
                <w:color w:val="auto"/>
                <w:kern w:val="0"/>
                <w:highlight w:val="none"/>
              </w:rPr>
              <w:t>视频形式展示等功能。</w:t>
            </w:r>
          </w:p>
          <w:p>
            <w:pPr>
              <w:rPr>
                <w:color w:val="auto"/>
                <w:highlight w:val="none"/>
              </w:rPr>
            </w:pPr>
            <w:r>
              <w:rPr>
                <w:rFonts w:hint="eastAsia" w:ascii="宋体" w:hAnsi="宋体" w:cs="宋体"/>
                <w:b/>
                <w:bCs/>
                <w:color w:val="auto"/>
                <w:kern w:val="0"/>
                <w:highlight w:val="none"/>
              </w:rPr>
              <w:t>5</w:t>
            </w:r>
            <w:r>
              <w:rPr>
                <w:rFonts w:hint="eastAsia" w:ascii="宋体" w:hAnsi="宋体" w:cs="宋体"/>
                <w:color w:val="auto"/>
                <w:kern w:val="0"/>
                <w:highlight w:val="none"/>
              </w:rPr>
              <w:t>.企业馆：根据行业产业分布特征，将行业企业分组分类；以3D虚拟场景为背景构建企业馆子界面；以图文</w:t>
            </w:r>
            <w:r>
              <w:rPr>
                <w:rFonts w:hint="eastAsia" w:ascii="宋体" w:hAnsi="宋体" w:cs="宋体"/>
                <w:color w:val="auto"/>
                <w:kern w:val="0"/>
                <w:highlight w:val="none"/>
                <w:lang w:val="en-US" w:eastAsia="zh-CN"/>
              </w:rPr>
              <w:t>或</w:t>
            </w:r>
            <w:r>
              <w:rPr>
                <w:rFonts w:hint="eastAsia" w:ascii="宋体" w:hAnsi="宋体" w:cs="宋体"/>
                <w:color w:val="auto"/>
                <w:kern w:val="0"/>
                <w:highlight w:val="none"/>
              </w:rPr>
              <w:t>视频形式展示等功能。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058" w:type="dxa"/>
            <w:vMerge w:val="continue"/>
            <w:tcBorders>
              <w:left w:val="single" w:color="auto" w:sz="6" w:space="0"/>
              <w:right w:val="single" w:color="auto" w:sz="6" w:space="0"/>
            </w:tcBorders>
            <w:vAlign w:val="center"/>
          </w:tcPr>
          <w:p>
            <w:pPr>
              <w:jc w:val="center"/>
              <w:rPr>
                <w:rFonts w:cs="等线" w:asciiTheme="minorEastAsia" w:hAnsiTheme="minorEastAsia"/>
                <w:color w:val="auto"/>
                <w:kern w:val="0"/>
              </w:rPr>
            </w:pPr>
          </w:p>
        </w:tc>
        <w:tc>
          <w:tcPr>
            <w:tcW w:w="1036" w:type="dxa"/>
            <w:tcBorders>
              <w:top w:val="single" w:color="auto" w:sz="6" w:space="0"/>
              <w:left w:val="single" w:color="auto" w:sz="6" w:space="0"/>
              <w:right w:val="single" w:color="auto" w:sz="6" w:space="0"/>
            </w:tcBorders>
            <w:vAlign w:val="center"/>
          </w:tcPr>
          <w:p>
            <w:pPr>
              <w:snapToGrid w:val="0"/>
              <w:jc w:val="center"/>
              <w:rPr>
                <w:rFonts w:ascii="宋体" w:hAnsi="宋体" w:cs="宋体"/>
                <w:color w:val="auto"/>
                <w:kern w:val="0"/>
              </w:rPr>
            </w:pPr>
            <w:r>
              <w:rPr>
                <w:rFonts w:hint="eastAsia" w:ascii="宋体" w:hAnsi="宋体" w:cs="宋体"/>
                <w:color w:val="auto"/>
                <w:kern w:val="0"/>
              </w:rPr>
              <w:t>技术</w:t>
            </w:r>
          </w:p>
          <w:p>
            <w:pPr>
              <w:snapToGrid w:val="0"/>
              <w:jc w:val="center"/>
              <w:rPr>
                <w:rFonts w:ascii="宋体" w:hAnsi="宋体" w:cs="宋体"/>
                <w:color w:val="auto"/>
                <w:kern w:val="0"/>
              </w:rPr>
            </w:pPr>
            <w:r>
              <w:rPr>
                <w:rFonts w:hint="eastAsia" w:ascii="宋体" w:hAnsi="宋体" w:cs="宋体"/>
                <w:color w:val="auto"/>
                <w:kern w:val="0"/>
              </w:rPr>
              <w:t>参数</w:t>
            </w:r>
          </w:p>
          <w:p>
            <w:pPr>
              <w:snapToGrid w:val="0"/>
              <w:jc w:val="center"/>
              <w:rPr>
                <w:rFonts w:ascii="宋体" w:hAnsi="宋体" w:cs="宋体"/>
                <w:color w:val="auto"/>
                <w:kern w:val="0"/>
              </w:rPr>
            </w:pPr>
            <w:r>
              <w:rPr>
                <w:rFonts w:hint="eastAsia" w:ascii="宋体" w:hAnsi="宋体" w:cs="宋体"/>
                <w:color w:val="auto"/>
                <w:kern w:val="0"/>
              </w:rPr>
              <w:t>响应</w:t>
            </w:r>
          </w:p>
        </w:tc>
        <w:tc>
          <w:tcPr>
            <w:tcW w:w="742" w:type="dxa"/>
            <w:tcBorders>
              <w:top w:val="single" w:color="auto" w:sz="6" w:space="0"/>
              <w:left w:val="single" w:color="auto" w:sz="6" w:space="0"/>
              <w:right w:val="single" w:color="auto" w:sz="6" w:space="0"/>
            </w:tcBorders>
            <w:vAlign w:val="center"/>
          </w:tcPr>
          <w:p>
            <w:pPr>
              <w:adjustRightInd w:val="0"/>
              <w:snapToGrid w:val="0"/>
              <w:jc w:val="center"/>
              <w:rPr>
                <w:rFonts w:hint="default" w:ascii="宋体" w:hAnsi="宋体" w:cs="宋体" w:eastAsiaTheme="minorEastAsia"/>
                <w:color w:val="auto"/>
                <w:kern w:val="0"/>
                <w:lang w:val="en-US" w:eastAsia="zh-CN"/>
              </w:rPr>
            </w:pPr>
            <w:r>
              <w:rPr>
                <w:rFonts w:hint="eastAsia" w:ascii="宋体" w:hAnsi="宋体" w:cs="宋体"/>
                <w:color w:val="auto"/>
                <w:kern w:val="0"/>
                <w:lang w:val="en-US" w:eastAsia="zh-CN"/>
              </w:rPr>
              <w:t>15</w:t>
            </w:r>
          </w:p>
        </w:tc>
        <w:tc>
          <w:tcPr>
            <w:tcW w:w="6802" w:type="dxa"/>
            <w:tcBorders>
              <w:top w:val="single" w:color="auto" w:sz="6" w:space="0"/>
              <w:left w:val="single" w:color="auto" w:sz="6" w:space="0"/>
              <w:right w:val="single" w:color="auto" w:sz="6" w:space="0"/>
            </w:tcBorders>
            <w:vAlign w:val="center"/>
          </w:tcPr>
          <w:p>
            <w:pPr>
              <w:rPr>
                <w:rFonts w:ascii="宋体" w:hAnsi="宋体" w:cs="宋体"/>
                <w:color w:val="auto"/>
                <w:kern w:val="0"/>
              </w:rPr>
            </w:pPr>
            <w:r>
              <w:rPr>
                <w:rFonts w:hint="eastAsia" w:ascii="宋体" w:hAnsi="宋体" w:cs="宋体"/>
                <w:color w:val="auto"/>
                <w:kern w:val="0"/>
              </w:rPr>
              <w:t>投标人对照采购需求设备参数提供技术参数偏离表，每负偏离一项扣</w:t>
            </w:r>
            <w:r>
              <w:rPr>
                <w:rFonts w:hint="eastAsia" w:ascii="宋体" w:hAnsi="宋体" w:cs="宋体"/>
                <w:color w:val="auto"/>
                <w:kern w:val="0"/>
                <w:lang w:val="en-US" w:eastAsia="zh-CN"/>
              </w:rPr>
              <w:t>1.5</w:t>
            </w:r>
            <w:r>
              <w:rPr>
                <w:rFonts w:hint="eastAsia" w:ascii="宋体" w:hAnsi="宋体" w:cs="宋体"/>
                <w:color w:val="auto"/>
                <w:kern w:val="0"/>
              </w:rPr>
              <w:t>分，扣完即止。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058" w:type="dxa"/>
            <w:vMerge w:val="continue"/>
            <w:tcBorders>
              <w:left w:val="single" w:color="auto" w:sz="6" w:space="0"/>
              <w:right w:val="single" w:color="auto" w:sz="6" w:space="0"/>
            </w:tcBorders>
            <w:vAlign w:val="center"/>
          </w:tcPr>
          <w:p>
            <w:pPr>
              <w:jc w:val="center"/>
              <w:rPr>
                <w:rFonts w:cs="等线" w:asciiTheme="minorEastAsia" w:hAnsiTheme="minorEastAsia"/>
                <w:color w:val="auto"/>
                <w:kern w:val="0"/>
              </w:rPr>
            </w:pPr>
          </w:p>
        </w:tc>
        <w:tc>
          <w:tcPr>
            <w:tcW w:w="1036" w:type="dxa"/>
            <w:tcBorders>
              <w:top w:val="single" w:color="auto" w:sz="6" w:space="0"/>
              <w:left w:val="single" w:color="auto" w:sz="6" w:space="0"/>
              <w:right w:val="single" w:color="auto" w:sz="6" w:space="0"/>
            </w:tcBorders>
            <w:vAlign w:val="center"/>
          </w:tcPr>
          <w:p>
            <w:pPr>
              <w:widowControl/>
              <w:jc w:val="center"/>
              <w:rPr>
                <w:rFonts w:ascii="宋体" w:hAnsi="宋体" w:eastAsia="宋体" w:cs="宋体"/>
                <w:color w:val="auto"/>
              </w:rPr>
            </w:pPr>
            <w:r>
              <w:rPr>
                <w:rFonts w:hint="eastAsia" w:ascii="宋体" w:hAnsi="宋体" w:eastAsia="宋体" w:cs="宋体"/>
                <w:color w:val="auto"/>
              </w:rPr>
              <w:t>整体服务</w:t>
            </w:r>
          </w:p>
          <w:p>
            <w:pPr>
              <w:widowControl/>
              <w:jc w:val="center"/>
              <w:rPr>
                <w:rFonts w:ascii="宋体" w:hAnsi="宋体" w:cs="宋体"/>
                <w:color w:val="auto"/>
                <w:kern w:val="0"/>
              </w:rPr>
            </w:pPr>
            <w:r>
              <w:rPr>
                <w:rFonts w:hint="eastAsia" w:ascii="宋体" w:hAnsi="宋体" w:eastAsia="宋体" w:cs="宋体"/>
                <w:color w:val="auto"/>
              </w:rPr>
              <w:t>方案</w:t>
            </w:r>
          </w:p>
        </w:tc>
        <w:tc>
          <w:tcPr>
            <w:tcW w:w="742" w:type="dxa"/>
            <w:tcBorders>
              <w:top w:val="single" w:color="auto" w:sz="6" w:space="0"/>
              <w:left w:val="single" w:color="auto" w:sz="6" w:space="0"/>
              <w:right w:val="single" w:color="auto" w:sz="6" w:space="0"/>
            </w:tcBorders>
            <w:vAlign w:val="center"/>
          </w:tcPr>
          <w:p>
            <w:pPr>
              <w:adjustRightInd w:val="0"/>
              <w:snapToGrid w:val="0"/>
              <w:jc w:val="center"/>
              <w:rPr>
                <w:rFonts w:hint="default" w:ascii="宋体" w:hAnsi="宋体" w:cs="宋体"/>
                <w:color w:val="auto"/>
                <w:kern w:val="0"/>
                <w:lang w:val="en-US"/>
              </w:rPr>
            </w:pPr>
            <w:r>
              <w:rPr>
                <w:rFonts w:hint="eastAsia" w:ascii="宋体" w:hAnsi="宋体" w:cs="宋体"/>
                <w:color w:val="auto"/>
                <w:kern w:val="0"/>
                <w:lang w:val="en-US" w:eastAsia="zh-CN"/>
              </w:rPr>
              <w:t>9</w:t>
            </w:r>
          </w:p>
        </w:tc>
        <w:tc>
          <w:tcPr>
            <w:tcW w:w="6802" w:type="dxa"/>
            <w:tcBorders>
              <w:top w:val="single" w:color="auto" w:sz="6" w:space="0"/>
              <w:left w:val="single" w:color="auto" w:sz="6" w:space="0"/>
              <w:right w:val="single" w:color="auto" w:sz="6" w:space="0"/>
            </w:tcBorders>
            <w:vAlign w:val="center"/>
          </w:tcPr>
          <w:p>
            <w:pPr>
              <w:rPr>
                <w:rFonts w:ascii="宋体" w:hAnsi="宋体" w:cs="宋体"/>
                <w:color w:val="auto"/>
                <w:kern w:val="0"/>
              </w:rPr>
            </w:pPr>
            <w:r>
              <w:rPr>
                <w:rFonts w:hint="eastAsia" w:ascii="宋体" w:hAnsi="宋体" w:eastAsia="宋体" w:cs="宋体"/>
                <w:color w:val="auto"/>
              </w:rPr>
              <w:t>根据供应商对本项目提供的服务方案（内容包含但不限于对1.项目的理解及</w:t>
            </w:r>
            <w:r>
              <w:rPr>
                <w:rFonts w:hint="eastAsia" w:ascii="宋体" w:hAnsi="宋体" w:eastAsia="宋体" w:cs="宋体"/>
                <w:color w:val="auto"/>
                <w:lang w:val="en-US" w:eastAsia="zh-CN"/>
              </w:rPr>
              <w:t>线上</w:t>
            </w:r>
            <w:r>
              <w:rPr>
                <w:rFonts w:hint="eastAsia" w:ascii="宋体" w:hAnsi="宋体" w:eastAsia="宋体" w:cs="宋体"/>
                <w:color w:val="auto"/>
              </w:rPr>
              <w:t>数字博物馆</w:t>
            </w:r>
            <w:r>
              <w:rPr>
                <w:rFonts w:hint="eastAsia" w:ascii="宋体" w:hAnsi="宋体" w:eastAsia="宋体" w:cs="宋体"/>
                <w:color w:val="auto"/>
                <w:lang w:val="en-US" w:eastAsia="zh-CN"/>
              </w:rPr>
              <w:t>功能和内容</w:t>
            </w:r>
            <w:r>
              <w:rPr>
                <w:rFonts w:hint="eastAsia" w:ascii="宋体" w:hAnsi="宋体" w:eastAsia="宋体" w:cs="宋体"/>
                <w:color w:val="auto"/>
              </w:rPr>
              <w:t>建设</w:t>
            </w:r>
            <w:r>
              <w:rPr>
                <w:rFonts w:hint="eastAsia" w:ascii="宋体" w:hAnsi="宋体" w:eastAsia="宋体" w:cs="宋体"/>
                <w:color w:val="auto"/>
                <w:lang w:val="en-US" w:eastAsia="zh-CN"/>
              </w:rPr>
              <w:t>技术方案。</w:t>
            </w:r>
            <w:r>
              <w:rPr>
                <w:rFonts w:hint="eastAsia" w:ascii="宋体" w:hAnsi="宋体" w:eastAsia="宋体" w:cs="宋体"/>
                <w:color w:val="auto"/>
              </w:rPr>
              <w:t>2.分项建设内容与要求的机制，3.项目进度管理、考核措施等）进行评审，符合全部要求的，计</w:t>
            </w:r>
            <w:r>
              <w:rPr>
                <w:rFonts w:hint="eastAsia" w:ascii="宋体" w:hAnsi="宋体" w:cs="宋体"/>
                <w:color w:val="auto"/>
                <w:lang w:val="en-US" w:eastAsia="zh-CN"/>
              </w:rPr>
              <w:t>9</w:t>
            </w:r>
            <w:r>
              <w:rPr>
                <w:rFonts w:hint="eastAsia" w:ascii="宋体" w:hAnsi="宋体" w:eastAsia="宋体" w:cs="宋体"/>
                <w:color w:val="auto"/>
              </w:rPr>
              <w:t>分，</w:t>
            </w:r>
            <w:r>
              <w:rPr>
                <w:rFonts w:hint="eastAsia" w:ascii="宋体" w:hAnsi="宋体" w:cs="宋体"/>
                <w:color w:val="auto"/>
                <w:lang w:val="en-US" w:eastAsia="zh-CN"/>
              </w:rPr>
              <w:t>基本符合要求但不够完善的每处扣2分，</w:t>
            </w:r>
            <w:r>
              <w:rPr>
                <w:rFonts w:hint="eastAsia" w:ascii="宋体" w:hAnsi="宋体" w:eastAsia="宋体" w:cs="宋体"/>
                <w:color w:val="auto"/>
              </w:rPr>
              <w:t>每存在一处缺漏或不符合采购人项目实际情况的扣</w:t>
            </w:r>
            <w:r>
              <w:rPr>
                <w:rFonts w:hint="eastAsia" w:ascii="宋体" w:hAnsi="宋体" w:cs="宋体"/>
                <w:color w:val="auto"/>
                <w:lang w:val="en-US" w:eastAsia="zh-CN"/>
              </w:rPr>
              <w:t>3</w:t>
            </w:r>
            <w:r>
              <w:rPr>
                <w:rFonts w:hint="eastAsia" w:ascii="宋体" w:hAnsi="宋体" w:eastAsia="宋体" w:cs="宋体"/>
                <w:color w:val="auto"/>
              </w:rPr>
              <w:t>分，扣完为止。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38" w:hRule="atLeast"/>
          <w:jc w:val="center"/>
        </w:trPr>
        <w:tc>
          <w:tcPr>
            <w:tcW w:w="1058" w:type="dxa"/>
            <w:vMerge w:val="continue"/>
            <w:tcBorders>
              <w:left w:val="single" w:color="auto" w:sz="6" w:space="0"/>
              <w:right w:val="single" w:color="auto" w:sz="6" w:space="0"/>
            </w:tcBorders>
          </w:tcPr>
          <w:p>
            <w:pPr>
              <w:pStyle w:val="2"/>
              <w:overflowPunct w:val="0"/>
              <w:topLinePunct/>
              <w:spacing w:after="0"/>
              <w:jc w:val="center"/>
              <w:textAlignment w:val="top"/>
              <w:rPr>
                <w:rFonts w:ascii="宋体" w:hAnsi="宋体" w:cs="宋体"/>
                <w:color w:val="auto"/>
                <w:kern w:val="0"/>
              </w:rPr>
            </w:pPr>
          </w:p>
        </w:tc>
        <w:tc>
          <w:tcPr>
            <w:tcW w:w="1036" w:type="dxa"/>
            <w:tcBorders>
              <w:top w:val="single" w:color="auto" w:sz="6" w:space="0"/>
              <w:left w:val="single" w:color="auto" w:sz="6" w:space="0"/>
              <w:right w:val="single" w:color="auto" w:sz="6" w:space="0"/>
            </w:tcBorders>
            <w:vAlign w:val="center"/>
          </w:tcPr>
          <w:p>
            <w:pPr>
              <w:pStyle w:val="3"/>
              <w:jc w:val="center"/>
              <w:rPr>
                <w:rFonts w:ascii="宋体" w:hAnsi="宋体" w:eastAsia="宋体" w:cs="宋体"/>
                <w:color w:val="auto"/>
                <w:sz w:val="21"/>
                <w:szCs w:val="21"/>
              </w:rPr>
            </w:pP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rPr>
              <w:t>保证措施</w:t>
            </w:r>
          </w:p>
        </w:tc>
        <w:tc>
          <w:tcPr>
            <w:tcW w:w="742" w:type="dxa"/>
            <w:tcBorders>
              <w:top w:val="single" w:color="auto" w:sz="6" w:space="0"/>
              <w:left w:val="single" w:color="auto" w:sz="6" w:space="0"/>
              <w:right w:val="single" w:color="auto" w:sz="6" w:space="0"/>
            </w:tcBorders>
            <w:vAlign w:val="center"/>
          </w:tcPr>
          <w:p>
            <w:pPr>
              <w:pStyle w:val="3"/>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802" w:type="dxa"/>
            <w:tcBorders>
              <w:top w:val="single" w:color="auto" w:sz="6" w:space="0"/>
              <w:left w:val="single" w:color="auto" w:sz="6" w:space="0"/>
              <w:right w:val="single" w:color="auto" w:sz="6" w:space="0"/>
            </w:tcBorders>
            <w:vAlign w:val="center"/>
          </w:tcPr>
          <w:p>
            <w:pPr>
              <w:rPr>
                <w:rFonts w:hint="eastAsia" w:ascii="宋体" w:hAnsi="宋体" w:eastAsia="宋体" w:cs="宋体"/>
                <w:color w:val="auto"/>
              </w:rPr>
            </w:pPr>
            <w:r>
              <w:rPr>
                <w:rFonts w:hint="eastAsia" w:ascii="宋体" w:hAnsi="宋体" w:eastAsia="宋体" w:cs="宋体"/>
                <w:color w:val="auto"/>
              </w:rPr>
              <w:t>投标人提供对所投产品提供质量保证方案、供货措施、</w:t>
            </w:r>
            <w:r>
              <w:rPr>
                <w:rFonts w:hint="eastAsia" w:ascii="宋体" w:hAnsi="宋体" w:eastAsia="宋体" w:cs="宋体"/>
                <w:color w:val="auto"/>
                <w:lang w:val="en-US" w:eastAsia="zh-CN"/>
              </w:rPr>
              <w:t>应急保障方案。</w:t>
            </w:r>
            <w:r>
              <w:rPr>
                <w:rFonts w:hint="eastAsia" w:ascii="宋体" w:hAnsi="宋体" w:eastAsia="宋体" w:cs="宋体"/>
                <w:color w:val="auto"/>
              </w:rPr>
              <w:t>评审专家进行横向比较评分：</w:t>
            </w:r>
          </w:p>
          <w:p>
            <w:pPr>
              <w:rPr>
                <w:rFonts w:hint="eastAsia" w:ascii="宋体" w:hAnsi="宋体" w:eastAsia="宋体" w:cs="宋体"/>
                <w:color w:val="auto"/>
              </w:rPr>
            </w:pPr>
            <w:r>
              <w:rPr>
                <w:rFonts w:hint="eastAsia" w:ascii="宋体" w:hAnsi="宋体" w:eastAsia="宋体" w:cs="宋体"/>
                <w:color w:val="auto"/>
              </w:rPr>
              <w:t>1.措施、方案完整，针对性强，科学合理，满足</w:t>
            </w:r>
            <w:r>
              <w:rPr>
                <w:rFonts w:hint="eastAsia" w:ascii="宋体" w:hAnsi="宋体" w:eastAsia="宋体" w:cs="宋体"/>
                <w:color w:val="auto"/>
                <w:lang w:val="en-US" w:eastAsia="zh-CN"/>
              </w:rPr>
              <w:t>3</w:t>
            </w:r>
            <w:r>
              <w:rPr>
                <w:rFonts w:hint="eastAsia" w:ascii="宋体" w:hAnsi="宋体" w:eastAsia="宋体" w:cs="宋体"/>
                <w:color w:val="auto"/>
              </w:rPr>
              <w:t>项目需求的计</w:t>
            </w:r>
            <w:r>
              <w:rPr>
                <w:rFonts w:hint="eastAsia" w:ascii="宋体" w:hAnsi="宋体" w:cs="宋体"/>
                <w:color w:val="auto"/>
                <w:lang w:val="en-US" w:eastAsia="zh-CN"/>
              </w:rPr>
              <w:t>6</w:t>
            </w:r>
            <w:r>
              <w:rPr>
                <w:rFonts w:hint="eastAsia" w:ascii="宋体" w:hAnsi="宋体" w:eastAsia="宋体" w:cs="宋体"/>
                <w:color w:val="auto"/>
              </w:rPr>
              <w:t>分；</w:t>
            </w:r>
          </w:p>
          <w:p>
            <w:pPr>
              <w:rPr>
                <w:rFonts w:hint="eastAsia" w:ascii="宋体" w:hAnsi="宋体" w:eastAsia="宋体" w:cs="宋体"/>
                <w:color w:val="auto"/>
              </w:rPr>
            </w:pPr>
            <w:r>
              <w:rPr>
                <w:rFonts w:hint="eastAsia" w:ascii="宋体" w:hAnsi="宋体" w:eastAsia="宋体" w:cs="宋体"/>
                <w:color w:val="auto"/>
              </w:rPr>
              <w:t>2.措施、方案较完整，有一定针对性，较科学合理，基本满足项目需求的计</w:t>
            </w:r>
            <w:r>
              <w:rPr>
                <w:rFonts w:hint="eastAsia" w:ascii="宋体" w:hAnsi="宋体" w:cs="宋体"/>
                <w:color w:val="auto"/>
                <w:lang w:val="en-US" w:eastAsia="zh-CN"/>
              </w:rPr>
              <w:t>4</w:t>
            </w:r>
            <w:r>
              <w:rPr>
                <w:rFonts w:hint="eastAsia" w:ascii="宋体" w:hAnsi="宋体" w:eastAsia="宋体" w:cs="宋体"/>
                <w:color w:val="auto"/>
              </w:rPr>
              <w:t>分；</w:t>
            </w:r>
          </w:p>
          <w:p>
            <w:pPr>
              <w:rPr>
                <w:rFonts w:hint="eastAsia" w:ascii="宋体" w:hAnsi="宋体" w:eastAsia="宋体" w:cs="宋体"/>
                <w:color w:val="auto"/>
              </w:rPr>
            </w:pPr>
            <w:r>
              <w:rPr>
                <w:rFonts w:hint="eastAsia" w:ascii="宋体" w:hAnsi="宋体" w:eastAsia="宋体" w:cs="宋体"/>
                <w:color w:val="auto"/>
              </w:rPr>
              <w:t>3.措施、方案基本完整，针对性弱，不太科学合理，不太满足项目需求的计</w:t>
            </w:r>
            <w:r>
              <w:rPr>
                <w:rFonts w:hint="eastAsia" w:ascii="宋体" w:hAnsi="宋体" w:cs="宋体"/>
                <w:color w:val="auto"/>
                <w:lang w:val="en-US" w:eastAsia="zh-CN"/>
              </w:rPr>
              <w:t>2</w:t>
            </w:r>
            <w:r>
              <w:rPr>
                <w:rFonts w:hint="eastAsia" w:ascii="宋体" w:hAnsi="宋体" w:eastAsia="宋体" w:cs="宋体"/>
                <w:color w:val="auto"/>
              </w:rPr>
              <w:t>分；</w:t>
            </w:r>
          </w:p>
          <w:p>
            <w:pPr>
              <w:rPr>
                <w:rFonts w:hint="eastAsia" w:ascii="宋体" w:hAnsi="宋体" w:eastAsia="宋体" w:cs="宋体"/>
                <w:color w:val="auto"/>
              </w:rPr>
            </w:pPr>
            <w:r>
              <w:rPr>
                <w:rFonts w:hint="eastAsia" w:ascii="宋体" w:hAnsi="宋体" w:eastAsia="宋体" w:cs="宋体"/>
                <w:color w:val="auto"/>
              </w:rPr>
              <w:t>每存在一处缺漏或不符合采购人项目实际情况的扣</w:t>
            </w:r>
            <w:r>
              <w:rPr>
                <w:rFonts w:hint="eastAsia" w:ascii="宋体" w:hAnsi="宋体" w:cs="宋体"/>
                <w:color w:val="auto"/>
                <w:lang w:val="en-US" w:eastAsia="zh-CN"/>
              </w:rPr>
              <w:t>2</w:t>
            </w:r>
            <w:r>
              <w:rPr>
                <w:rFonts w:hint="eastAsia" w:ascii="宋体" w:hAnsi="宋体" w:eastAsia="宋体" w:cs="宋体"/>
                <w:color w:val="auto"/>
              </w:rPr>
              <w:t>分，扣完为止。</w:t>
            </w:r>
          </w:p>
          <w:p>
            <w:pPr>
              <w:rPr>
                <w:color w:val="auto"/>
              </w:rPr>
            </w:pPr>
            <w:r>
              <w:rPr>
                <w:rFonts w:hint="eastAsia" w:ascii="宋体" w:hAnsi="宋体" w:eastAsia="宋体" w:cs="宋体"/>
                <w:color w:val="auto"/>
              </w:rPr>
              <w:t>4.不提供不计分。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638" w:type="dxa"/>
            <w:gridSpan w:val="4"/>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等线" w:asciiTheme="minorEastAsia" w:hAnsiTheme="minorEastAsia"/>
                <w:color w:val="auto"/>
                <w:kern w:val="0"/>
              </w:rPr>
            </w:pPr>
            <w:r>
              <w:rPr>
                <w:rFonts w:hint="eastAsia" w:ascii="宋体" w:hAnsi="宋体" w:cs="宋体"/>
                <w:color w:val="auto"/>
              </w:rPr>
              <w:t>总分：</w:t>
            </w:r>
            <w:r>
              <w:rPr>
                <w:rFonts w:ascii="宋体" w:hAnsi="宋体" w:cs="宋体"/>
                <w:color w:val="auto"/>
              </w:rPr>
              <w:t>100分</w:t>
            </w:r>
          </w:p>
        </w:tc>
      </w:tr>
    </w:tbl>
    <w:p>
      <w:pPr>
        <w:adjustRightInd w:val="0"/>
        <w:snapToGrid w:val="0"/>
        <w:spacing w:line="360" w:lineRule="auto"/>
        <w:jc w:val="center"/>
        <w:rPr>
          <w:rFonts w:hint="eastAsia" w:ascii="黑体" w:eastAsia="黑体"/>
          <w:color w:val="auto"/>
          <w:sz w:val="32"/>
          <w:szCs w:val="32"/>
        </w:rPr>
      </w:pPr>
    </w:p>
    <w:p>
      <w:pPr>
        <w:adjustRightInd w:val="0"/>
        <w:snapToGrid w:val="0"/>
        <w:spacing w:line="360" w:lineRule="auto"/>
        <w:jc w:val="center"/>
        <w:rPr>
          <w:rFonts w:hint="eastAsia" w:ascii="黑体" w:hAnsi="宋体" w:eastAsia="黑体"/>
          <w:color w:val="auto"/>
          <w:sz w:val="32"/>
          <w:szCs w:val="32"/>
        </w:rPr>
      </w:pPr>
      <w:r>
        <w:rPr>
          <w:rFonts w:hint="eastAsia" w:ascii="黑体" w:eastAsia="黑体"/>
          <w:color w:val="auto"/>
          <w:sz w:val="32"/>
          <w:szCs w:val="32"/>
        </w:rPr>
        <w:t>磋商须知</w:t>
      </w:r>
      <w:r>
        <w:rPr>
          <w:rFonts w:hint="eastAsia" w:ascii="黑体" w:hAnsi="宋体" w:eastAsia="黑体"/>
          <w:color w:val="auto"/>
          <w:sz w:val="32"/>
          <w:szCs w:val="32"/>
        </w:rPr>
        <w:t>正文</w:t>
      </w:r>
    </w:p>
    <w:p>
      <w:pPr>
        <w:adjustRightInd w:val="0"/>
        <w:snapToGrid w:val="0"/>
        <w:spacing w:line="360" w:lineRule="auto"/>
        <w:rPr>
          <w:rFonts w:hint="eastAsia" w:ascii="黑体" w:hAnsi="宋体" w:eastAsia="黑体"/>
          <w:color w:val="auto"/>
          <w:sz w:val="24"/>
        </w:rPr>
      </w:pPr>
      <w:r>
        <w:rPr>
          <w:rFonts w:hint="eastAsia" w:ascii="黑体" w:hAnsi="宋体" w:eastAsia="黑体"/>
          <w:color w:val="auto"/>
          <w:sz w:val="24"/>
        </w:rPr>
        <w:t>一、说明</w:t>
      </w:r>
    </w:p>
    <w:p>
      <w:pPr>
        <w:adjustRightInd w:val="0"/>
        <w:snapToGrid w:val="0"/>
        <w:spacing w:line="360" w:lineRule="auto"/>
        <w:rPr>
          <w:rFonts w:hint="eastAsia" w:ascii="宋体" w:hAnsi="宋体"/>
          <w:b/>
          <w:bCs/>
          <w:color w:val="auto"/>
          <w:szCs w:val="21"/>
        </w:rPr>
      </w:pPr>
      <w:r>
        <w:rPr>
          <w:rFonts w:hint="eastAsia" w:ascii="宋体" w:hAnsi="宋体"/>
          <w:b/>
          <w:bCs/>
          <w:color w:val="auto"/>
          <w:szCs w:val="21"/>
        </w:rPr>
        <w:t>1.适用范围</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1.1 本磋商文件仅适用于磋商须知前附表(以下简称</w:t>
      </w:r>
      <w:r>
        <w:rPr>
          <w:rFonts w:hint="eastAsia" w:ascii="宋体" w:hAnsi="宋体"/>
          <w:b/>
          <w:color w:val="auto"/>
          <w:szCs w:val="21"/>
        </w:rPr>
        <w:t>磋商须知前附表)</w:t>
      </w:r>
      <w:r>
        <w:rPr>
          <w:rFonts w:hint="eastAsia" w:ascii="宋体" w:hAnsi="宋体"/>
          <w:color w:val="auto"/>
          <w:szCs w:val="21"/>
        </w:rPr>
        <w:t>中所叙述的采购项目。</w:t>
      </w:r>
    </w:p>
    <w:p>
      <w:pPr>
        <w:adjustRightInd w:val="0"/>
        <w:snapToGrid w:val="0"/>
        <w:spacing w:line="360" w:lineRule="auto"/>
        <w:rPr>
          <w:rFonts w:hint="eastAsia" w:ascii="宋体" w:hAnsi="宋体"/>
          <w:b/>
          <w:bCs/>
          <w:color w:val="auto"/>
          <w:szCs w:val="21"/>
        </w:rPr>
      </w:pPr>
      <w:r>
        <w:rPr>
          <w:rFonts w:hint="eastAsia" w:ascii="宋体" w:hAnsi="宋体"/>
          <w:b/>
          <w:bCs/>
          <w:color w:val="auto"/>
          <w:szCs w:val="21"/>
        </w:rPr>
        <w:t>2.定义</w:t>
      </w:r>
    </w:p>
    <w:p>
      <w:pPr>
        <w:adjustRightInd w:val="0"/>
        <w:snapToGrid w:val="0"/>
        <w:spacing w:line="360" w:lineRule="auto"/>
        <w:ind w:firstLine="420" w:firstLineChars="200"/>
        <w:rPr>
          <w:rFonts w:hint="eastAsia" w:ascii="宋体" w:hAnsi="宋体"/>
          <w:b/>
          <w:color w:val="auto"/>
          <w:szCs w:val="21"/>
        </w:rPr>
      </w:pPr>
      <w:r>
        <w:rPr>
          <w:rFonts w:hint="eastAsia" w:ascii="宋体" w:hAnsi="宋体"/>
          <w:color w:val="auto"/>
          <w:szCs w:val="21"/>
        </w:rPr>
        <w:t>2.1 “采购人”是指依法进行采购的国家机关、事业单位、团体组织</w:t>
      </w:r>
      <w:r>
        <w:rPr>
          <w:rFonts w:hint="eastAsia" w:ascii="宋体" w:hAnsi="宋体"/>
          <w:color w:val="auto"/>
          <w:szCs w:val="21"/>
          <w:lang w:eastAsia="zh-CN"/>
        </w:rPr>
        <w:t>，</w:t>
      </w:r>
      <w:r>
        <w:rPr>
          <w:rFonts w:hint="eastAsia" w:ascii="宋体" w:hAnsi="宋体"/>
          <w:color w:val="auto"/>
          <w:szCs w:val="21"/>
          <w:lang w:val="en-US" w:eastAsia="zh-CN"/>
        </w:rPr>
        <w:t>国有公司</w:t>
      </w:r>
      <w:r>
        <w:rPr>
          <w:rFonts w:hint="eastAsia" w:ascii="宋体" w:hAnsi="宋体"/>
          <w:color w:val="auto"/>
          <w:szCs w:val="21"/>
        </w:rPr>
        <w:t>。本次采购的采购人名称、地址、电话、联系人见</w:t>
      </w:r>
      <w:r>
        <w:rPr>
          <w:rFonts w:hint="eastAsia" w:ascii="宋体" w:hAnsi="宋体"/>
          <w:b/>
          <w:color w:val="auto"/>
          <w:szCs w:val="21"/>
        </w:rPr>
        <w:t>磋商须知前附表</w:t>
      </w:r>
      <w:r>
        <w:rPr>
          <w:rFonts w:hint="eastAsia" w:ascii="宋体" w:hAnsi="宋体"/>
          <w:color w:val="auto"/>
          <w:szCs w:val="21"/>
        </w:rPr>
        <w:t>。</w:t>
      </w:r>
    </w:p>
    <w:p>
      <w:pPr>
        <w:adjustRightInd w:val="0"/>
        <w:snapToGrid w:val="0"/>
        <w:spacing w:line="360" w:lineRule="auto"/>
        <w:ind w:firstLine="420" w:firstLineChars="200"/>
        <w:rPr>
          <w:rFonts w:hint="eastAsia" w:ascii="宋体" w:hAnsi="宋体"/>
          <w:b/>
          <w:color w:val="auto"/>
          <w:szCs w:val="21"/>
        </w:rPr>
      </w:pPr>
      <w:r>
        <w:rPr>
          <w:rFonts w:hint="eastAsia" w:ascii="宋体" w:hAnsi="宋体"/>
          <w:color w:val="auto"/>
          <w:szCs w:val="21"/>
        </w:rPr>
        <w:t>2.2 “采购代理机构”是指接受采购人委托，代理采购项目的集中采购机构和其他采购代理机构。本次采购的采购代理机构名称、地址、电话、联系人见</w:t>
      </w:r>
      <w:r>
        <w:rPr>
          <w:rFonts w:hint="eastAsia" w:ascii="宋体" w:hAnsi="宋体"/>
          <w:b/>
          <w:color w:val="auto"/>
          <w:szCs w:val="21"/>
        </w:rPr>
        <w:t>磋商须知前附表。</w:t>
      </w:r>
    </w:p>
    <w:p>
      <w:pPr>
        <w:adjustRightInd w:val="0"/>
        <w:snapToGrid w:val="0"/>
        <w:spacing w:line="360" w:lineRule="auto"/>
        <w:ind w:firstLine="420" w:firstLineChars="200"/>
        <w:rPr>
          <w:rFonts w:hint="eastAsia" w:ascii="宋体" w:hAnsi="宋体" w:cs="宋体"/>
          <w:bCs/>
          <w:color w:val="auto"/>
          <w:kern w:val="36"/>
          <w:szCs w:val="21"/>
        </w:rPr>
      </w:pPr>
      <w:r>
        <w:rPr>
          <w:rFonts w:hint="eastAsia" w:ascii="宋体" w:hAnsi="宋体"/>
          <w:color w:val="auto"/>
          <w:szCs w:val="21"/>
        </w:rPr>
        <w:t>2.3 “供应商”是指响应磋商文件要求、参加</w:t>
      </w:r>
      <w:r>
        <w:rPr>
          <w:rFonts w:hint="eastAsia" w:ascii="宋体" w:hAnsi="宋体"/>
          <w:color w:val="auto"/>
          <w:szCs w:val="21"/>
          <w:lang w:eastAsia="zh-CN"/>
        </w:rPr>
        <w:t>竞争磋商</w:t>
      </w:r>
      <w:r>
        <w:rPr>
          <w:rFonts w:hint="eastAsia" w:ascii="宋体" w:hAnsi="宋体"/>
          <w:color w:val="auto"/>
          <w:szCs w:val="21"/>
        </w:rPr>
        <w:t>采购的法人、其他组织或者自然人。本次采购项目</w:t>
      </w:r>
      <w:r>
        <w:rPr>
          <w:rFonts w:hint="eastAsia" w:ascii="宋体" w:hAnsi="宋体" w:cs="宋体"/>
          <w:color w:val="auto"/>
          <w:kern w:val="0"/>
          <w:szCs w:val="21"/>
        </w:rPr>
        <w:t>邀请</w:t>
      </w:r>
      <w:r>
        <w:rPr>
          <w:rFonts w:hint="eastAsia" w:ascii="宋体" w:hAnsi="宋体"/>
          <w:color w:val="auto"/>
          <w:szCs w:val="21"/>
        </w:rPr>
        <w:t>的</w:t>
      </w:r>
      <w:r>
        <w:rPr>
          <w:rFonts w:hint="eastAsia" w:ascii="宋体" w:hAnsi="宋体" w:cs="宋体"/>
          <w:color w:val="auto"/>
          <w:kern w:val="0"/>
          <w:szCs w:val="21"/>
        </w:rPr>
        <w:t>供应商通过</w:t>
      </w:r>
      <w:r>
        <w:rPr>
          <w:rFonts w:hint="eastAsia" w:ascii="宋体" w:hAnsi="宋体"/>
          <w:b/>
          <w:color w:val="auto"/>
          <w:szCs w:val="21"/>
        </w:rPr>
        <w:t>磋商须知前附表</w:t>
      </w:r>
      <w:r>
        <w:rPr>
          <w:rFonts w:hint="eastAsia" w:ascii="宋体" w:hAnsi="宋体"/>
          <w:color w:val="auto"/>
          <w:szCs w:val="21"/>
        </w:rPr>
        <w:t>所述方式</w:t>
      </w:r>
      <w:r>
        <w:rPr>
          <w:rFonts w:hint="eastAsia" w:ascii="宋体" w:hAnsi="宋体" w:cs="宋体"/>
          <w:color w:val="auto"/>
          <w:kern w:val="0"/>
          <w:szCs w:val="21"/>
        </w:rPr>
        <w:t>，邀请符合资格条件的供应商提交响应文件（含资格证明资料），参与</w:t>
      </w:r>
      <w:r>
        <w:rPr>
          <w:rFonts w:hint="eastAsia" w:ascii="宋体" w:hAnsi="宋体" w:cs="宋体"/>
          <w:color w:val="auto"/>
          <w:kern w:val="0"/>
          <w:szCs w:val="21"/>
          <w:lang w:eastAsia="zh-CN"/>
        </w:rPr>
        <w:t>竞争磋商</w:t>
      </w:r>
      <w:r>
        <w:rPr>
          <w:rFonts w:hint="eastAsia" w:ascii="宋体" w:hAnsi="宋体" w:cs="宋体"/>
          <w:color w:val="auto"/>
          <w:kern w:val="0"/>
          <w:szCs w:val="21"/>
        </w:rPr>
        <w:t>采购活动。</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olor w:val="auto"/>
          <w:szCs w:val="21"/>
        </w:rPr>
        <w:t>2.4 “磋商小组”是指</w:t>
      </w:r>
      <w:r>
        <w:rPr>
          <w:rFonts w:hint="eastAsia" w:ascii="宋体" w:hAnsi="宋体" w:cs="宋体"/>
          <w:color w:val="auto"/>
          <w:kern w:val="0"/>
          <w:szCs w:val="21"/>
        </w:rPr>
        <w:t>依据</w:t>
      </w:r>
      <w:r>
        <w:rPr>
          <w:rFonts w:hint="eastAsia" w:ascii="宋体" w:hAnsi="宋体" w:cs="宋体"/>
          <w:color w:val="auto"/>
          <w:kern w:val="0"/>
          <w:szCs w:val="21"/>
          <w:lang w:val="en-US" w:eastAsia="zh-CN"/>
        </w:rPr>
        <w:t>国家相关</w:t>
      </w:r>
      <w:r>
        <w:rPr>
          <w:rFonts w:hint="eastAsia" w:ascii="宋体" w:hAnsi="宋体" w:cs="宋体"/>
          <w:bCs/>
          <w:color w:val="auto"/>
          <w:kern w:val="36"/>
          <w:szCs w:val="21"/>
        </w:rPr>
        <w:t>规定组建，依法依规</w:t>
      </w:r>
      <w:r>
        <w:rPr>
          <w:rFonts w:hint="eastAsia" w:ascii="宋体" w:hAnsi="宋体" w:cs="宋体"/>
          <w:color w:val="auto"/>
          <w:kern w:val="0"/>
          <w:szCs w:val="21"/>
        </w:rPr>
        <w:t>履行其职责和义务的机构。</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2.5 “货物”是指各种形态和种类的物品，包括原资料、燃料、设备、产品等，详见《政府采购品目分类目录》(</w:t>
      </w:r>
      <w:r>
        <w:rPr>
          <w:rStyle w:val="22"/>
          <w:rFonts w:ascii="宋体" w:hAnsi="宋体"/>
          <w:b w:val="0"/>
          <w:color w:val="auto"/>
        </w:rPr>
        <w:t>财库</w:t>
      </w:r>
      <w:r>
        <w:rPr>
          <w:rStyle w:val="22"/>
          <w:rFonts w:hint="eastAsia" w:ascii="宋体" w:hAnsi="宋体"/>
          <w:b w:val="0"/>
          <w:color w:val="auto"/>
        </w:rPr>
        <w:t>[</w:t>
      </w:r>
      <w:r>
        <w:rPr>
          <w:rStyle w:val="22"/>
          <w:rFonts w:ascii="宋体" w:hAnsi="宋体"/>
          <w:b w:val="0"/>
          <w:color w:val="auto"/>
        </w:rPr>
        <w:t>2013</w:t>
      </w:r>
      <w:r>
        <w:rPr>
          <w:rStyle w:val="22"/>
          <w:rFonts w:hint="eastAsia" w:ascii="宋体" w:hAnsi="宋体"/>
          <w:b w:val="0"/>
          <w:color w:val="auto"/>
        </w:rPr>
        <w:t>]</w:t>
      </w:r>
      <w:r>
        <w:rPr>
          <w:rStyle w:val="22"/>
          <w:rFonts w:ascii="宋体" w:hAnsi="宋体"/>
          <w:b w:val="0"/>
          <w:color w:val="auto"/>
        </w:rPr>
        <w:t>189号</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2.6 “工程”是指建设工程，包括建筑物和构筑物的新建、改建、扩建、装修、拆除、修缮等，详见《政府采购品目分类目录》(</w:t>
      </w:r>
      <w:r>
        <w:rPr>
          <w:rStyle w:val="22"/>
          <w:rFonts w:ascii="宋体" w:hAnsi="宋体"/>
          <w:b w:val="0"/>
          <w:color w:val="auto"/>
        </w:rPr>
        <w:t>财库</w:t>
      </w:r>
      <w:r>
        <w:rPr>
          <w:rStyle w:val="22"/>
          <w:rFonts w:hint="eastAsia" w:ascii="宋体" w:hAnsi="宋体"/>
          <w:b w:val="0"/>
          <w:color w:val="auto"/>
        </w:rPr>
        <w:t>[</w:t>
      </w:r>
      <w:r>
        <w:rPr>
          <w:rStyle w:val="22"/>
          <w:rFonts w:ascii="宋体" w:hAnsi="宋体"/>
          <w:b w:val="0"/>
          <w:color w:val="auto"/>
        </w:rPr>
        <w:t>2013</w:t>
      </w:r>
      <w:r>
        <w:rPr>
          <w:rStyle w:val="22"/>
          <w:rFonts w:hint="eastAsia" w:ascii="宋体" w:hAnsi="宋体"/>
          <w:b w:val="0"/>
          <w:color w:val="auto"/>
        </w:rPr>
        <w:t>]</w:t>
      </w:r>
      <w:r>
        <w:rPr>
          <w:rStyle w:val="22"/>
          <w:rFonts w:ascii="宋体" w:hAnsi="宋体"/>
          <w:b w:val="0"/>
          <w:color w:val="auto"/>
        </w:rPr>
        <w:t>189号</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2.7 “服务”是指除货物和工程以外的其他采购对象，详见《政府采购品目分类目录》(</w:t>
      </w:r>
      <w:r>
        <w:rPr>
          <w:rStyle w:val="22"/>
          <w:rFonts w:ascii="宋体" w:hAnsi="宋体"/>
          <w:b w:val="0"/>
          <w:color w:val="auto"/>
        </w:rPr>
        <w:t>财库</w:t>
      </w:r>
      <w:r>
        <w:rPr>
          <w:rStyle w:val="22"/>
          <w:rFonts w:hint="eastAsia" w:ascii="宋体" w:hAnsi="宋体"/>
          <w:b w:val="0"/>
          <w:color w:val="auto"/>
        </w:rPr>
        <w:t>[</w:t>
      </w:r>
      <w:r>
        <w:rPr>
          <w:rStyle w:val="22"/>
          <w:rFonts w:ascii="宋体" w:hAnsi="宋体"/>
          <w:b w:val="0"/>
          <w:color w:val="auto"/>
        </w:rPr>
        <w:t>2013</w:t>
      </w:r>
      <w:r>
        <w:rPr>
          <w:rStyle w:val="22"/>
          <w:rFonts w:hint="eastAsia" w:ascii="宋体" w:hAnsi="宋体"/>
          <w:b w:val="0"/>
          <w:color w:val="auto"/>
        </w:rPr>
        <w:t>]</w:t>
      </w:r>
      <w:r>
        <w:rPr>
          <w:rStyle w:val="22"/>
          <w:rFonts w:ascii="宋体" w:hAnsi="宋体"/>
          <w:b w:val="0"/>
          <w:color w:val="auto"/>
        </w:rPr>
        <w:t>189号</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s="宋体"/>
          <w:color w:val="auto"/>
          <w:kern w:val="0"/>
          <w:szCs w:val="21"/>
        </w:rPr>
        <w:t>2.8</w:t>
      </w:r>
      <w:r>
        <w:rPr>
          <w:rFonts w:hint="eastAsia" w:ascii="宋体" w:hAnsi="宋体"/>
          <w:color w:val="auto"/>
          <w:szCs w:val="21"/>
        </w:rPr>
        <w:t xml:space="preserve"> “节能产品”或者“环保产品”是指财政部发布的《节能产品政府采购清单》或者《环境标志产品政府采购清单》的产品，“两型产品”是指湖南省财政厅发布的</w:t>
      </w:r>
      <w:r>
        <w:rPr>
          <w:rFonts w:ascii="宋体" w:hAnsi="宋体"/>
          <w:color w:val="auto"/>
          <w:szCs w:val="21"/>
        </w:rPr>
        <w:t>《湖南省两型产品政府采购目录》</w:t>
      </w:r>
      <w:r>
        <w:rPr>
          <w:rFonts w:hint="eastAsia" w:ascii="宋体" w:hAnsi="宋体"/>
          <w:color w:val="auto"/>
          <w:szCs w:val="21"/>
        </w:rPr>
        <w:t>和《娄底市两型产品目录》的产品。</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olor w:val="auto"/>
          <w:szCs w:val="21"/>
        </w:rPr>
        <w:t>2.9</w:t>
      </w:r>
      <w:r>
        <w:rPr>
          <w:rFonts w:hint="eastAsia" w:ascii="宋体" w:hAnsi="宋体" w:cs="宋体"/>
          <w:color w:val="auto"/>
          <w:kern w:val="0"/>
          <w:szCs w:val="21"/>
        </w:rPr>
        <w:t xml:space="preserve"> “进口产品”是指通过中国海关报关验放进入中国境内且产自关境外的产品，详见《</w:t>
      </w:r>
      <w:r>
        <w:rPr>
          <w:rFonts w:ascii="宋体" w:hAnsi="宋体" w:cs="宋体"/>
          <w:color w:val="auto"/>
          <w:kern w:val="0"/>
          <w:szCs w:val="21"/>
        </w:rPr>
        <w:t>关于政府采购进口产品管理有关问题的通知</w:t>
      </w:r>
      <w:r>
        <w:rPr>
          <w:rFonts w:hint="eastAsia" w:ascii="宋体" w:hAnsi="宋体" w:cs="宋体"/>
          <w:color w:val="auto"/>
          <w:kern w:val="0"/>
          <w:szCs w:val="21"/>
        </w:rPr>
        <w:t>》(财库[2007]119号)。</w:t>
      </w:r>
    </w:p>
    <w:p>
      <w:pPr>
        <w:adjustRightInd w:val="0"/>
        <w:snapToGrid w:val="0"/>
        <w:spacing w:line="360" w:lineRule="auto"/>
        <w:rPr>
          <w:rFonts w:hint="eastAsia" w:ascii="宋体" w:hAnsi="宋体"/>
          <w:b/>
          <w:bCs/>
          <w:color w:val="auto"/>
          <w:szCs w:val="21"/>
        </w:rPr>
      </w:pPr>
      <w:r>
        <w:rPr>
          <w:rFonts w:hint="eastAsia" w:ascii="宋体" w:hAnsi="宋体"/>
          <w:b/>
          <w:bCs/>
          <w:color w:val="auto"/>
          <w:szCs w:val="21"/>
        </w:rPr>
        <w:t>3.供应商的资格要求</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3.1 供应商应当符合</w:t>
      </w:r>
      <w:r>
        <w:rPr>
          <w:rFonts w:hint="eastAsia" w:ascii="宋体" w:hAnsi="宋体"/>
          <w:b/>
          <w:color w:val="auto"/>
          <w:szCs w:val="21"/>
        </w:rPr>
        <w:t>磋商须知前附表</w:t>
      </w:r>
      <w:r>
        <w:rPr>
          <w:rFonts w:hint="eastAsia" w:ascii="宋体" w:hAnsi="宋体"/>
          <w:color w:val="auto"/>
          <w:szCs w:val="21"/>
        </w:rPr>
        <w:t>中规定的资格条件要求。</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3.2供应商</w:t>
      </w:r>
      <w:r>
        <w:rPr>
          <w:rFonts w:hint="eastAsia" w:hAnsi="宋体"/>
          <w:color w:val="auto"/>
        </w:rPr>
        <w:t>为联合体形式的</w:t>
      </w:r>
      <w:r>
        <w:rPr>
          <w:rFonts w:hint="eastAsia" w:ascii="宋体" w:hAnsi="宋体"/>
          <w:color w:val="auto"/>
          <w:szCs w:val="21"/>
        </w:rPr>
        <w:t xml:space="preserve">，除应满足本章第3.1款资格条件要求及第3.3款规定外，还应遵守以下规定： </w:t>
      </w:r>
    </w:p>
    <w:p>
      <w:pPr>
        <w:adjustRightInd w:val="0"/>
        <w:snapToGrid w:val="0"/>
        <w:spacing w:line="360" w:lineRule="auto"/>
        <w:ind w:firstLine="420" w:firstLineChars="200"/>
        <w:jc w:val="left"/>
        <w:rPr>
          <w:rFonts w:hint="eastAsia" w:ascii="宋体" w:hAnsi="宋体" w:cs="宋体"/>
          <w:color w:val="auto"/>
          <w:kern w:val="0"/>
          <w:szCs w:val="21"/>
          <w:lang w:val="zh-CN"/>
        </w:rPr>
      </w:pPr>
      <w:r>
        <w:rPr>
          <w:rFonts w:hint="eastAsia" w:ascii="宋体" w:hAnsi="宋体" w:cs="宋体"/>
          <w:color w:val="auto"/>
          <w:kern w:val="0"/>
          <w:szCs w:val="21"/>
          <w:lang w:val="zh-CN"/>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hint="eastAsia" w:ascii="宋体" w:hAnsi="宋体" w:cs="宋体"/>
          <w:color w:val="auto"/>
          <w:kern w:val="0"/>
          <w:szCs w:val="21"/>
          <w:lang w:val="zh-CN"/>
        </w:rPr>
      </w:pPr>
      <w:r>
        <w:rPr>
          <w:rFonts w:hint="eastAsia" w:ascii="宋体" w:hAnsi="宋体" w:cs="宋体"/>
          <w:color w:val="auto"/>
          <w:kern w:val="0"/>
          <w:szCs w:val="21"/>
          <w:lang w:val="zh-CN"/>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hint="eastAsia" w:ascii="宋体" w:hAnsi="宋体" w:cs="宋体"/>
          <w:color w:val="auto"/>
          <w:kern w:val="0"/>
          <w:szCs w:val="21"/>
          <w:lang w:val="zh-CN"/>
        </w:rPr>
      </w:pPr>
      <w:r>
        <w:rPr>
          <w:rFonts w:hint="eastAsia" w:ascii="宋体" w:hAnsi="宋体" w:cs="宋体"/>
          <w:color w:val="auto"/>
          <w:kern w:val="0"/>
          <w:szCs w:val="21"/>
          <w:lang w:val="zh-CN"/>
        </w:rPr>
        <w:t>（3）以联合体形式参加采购活动的，联合体各方不得再单独参加或者与其他供应商另外组成联合体参加同一合同项下的采购活动。</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3.3 供应商不得存在下列情形之一：</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（l）与采购人、采购代理机构存在</w:t>
      </w:r>
      <w:r>
        <w:rPr>
          <w:rFonts w:hint="eastAsia" w:ascii="宋体" w:hAnsi="宋体"/>
          <w:bCs/>
          <w:color w:val="auto"/>
          <w:szCs w:val="21"/>
        </w:rPr>
        <w:t>隶属关系或者其他利害关系</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（2）与其他供应商的法定代表人（或者负责人）为同一人，或者与其他供应商存在直接控股、管理关系。</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w:t>
      </w:r>
      <w:r>
        <w:rPr>
          <w:rFonts w:hint="eastAsia" w:ascii="宋体" w:hAnsi="宋体"/>
          <w:bCs/>
          <w:color w:val="auto"/>
          <w:szCs w:val="21"/>
        </w:rPr>
        <w:t>受到刑事处罚，或者受到三万元以上的罚款、责令停产停业、在一至三年内禁止参加采购活动、暂扣或者吊销许可证、暂扣或者吊销执照等情形之一的行政处罚，或者存在</w:t>
      </w:r>
      <w:r>
        <w:rPr>
          <w:rFonts w:hint="eastAsia" w:ascii="宋体" w:hAnsi="宋体"/>
          <w:color w:val="auto"/>
          <w:szCs w:val="21"/>
        </w:rPr>
        <w:t>财政部门认定的其他重大违法记录。</w:t>
      </w:r>
    </w:p>
    <w:p>
      <w:pPr>
        <w:adjustRightInd w:val="0"/>
        <w:snapToGrid w:val="0"/>
        <w:spacing w:line="360" w:lineRule="auto"/>
        <w:rPr>
          <w:rFonts w:hint="eastAsia" w:ascii="宋体" w:hAnsi="宋体"/>
          <w:b/>
          <w:bCs/>
          <w:color w:val="auto"/>
          <w:szCs w:val="21"/>
        </w:rPr>
      </w:pPr>
      <w:r>
        <w:rPr>
          <w:rFonts w:hint="eastAsia" w:ascii="宋体" w:hAnsi="宋体"/>
          <w:b/>
          <w:bCs/>
          <w:color w:val="auto"/>
          <w:szCs w:val="21"/>
        </w:rPr>
        <w:t xml:space="preserve">4.参与磋商的费用 </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4.1 无论磋商的结果如何，供应商应自行承担所有与</w:t>
      </w:r>
      <w:r>
        <w:rPr>
          <w:rFonts w:hint="eastAsia" w:ascii="宋体" w:hAnsi="宋体"/>
          <w:color w:val="auto"/>
          <w:szCs w:val="21"/>
          <w:lang w:eastAsia="zh-CN"/>
        </w:rPr>
        <w:t>竞争磋商</w:t>
      </w:r>
      <w:r>
        <w:rPr>
          <w:rFonts w:hint="eastAsia" w:ascii="宋体" w:hAnsi="宋体"/>
          <w:color w:val="auto"/>
          <w:szCs w:val="21"/>
        </w:rPr>
        <w:t>采购活动有关的全部费用。</w:t>
      </w:r>
    </w:p>
    <w:p>
      <w:pPr>
        <w:pStyle w:val="11"/>
        <w:adjustRightInd w:val="0"/>
        <w:snapToGrid w:val="0"/>
        <w:spacing w:line="360" w:lineRule="auto"/>
        <w:rPr>
          <w:rFonts w:hint="eastAsia" w:hAnsi="宋体"/>
          <w:b/>
          <w:bCs/>
          <w:color w:val="auto"/>
        </w:rPr>
      </w:pPr>
      <w:r>
        <w:rPr>
          <w:rFonts w:hint="eastAsia" w:hAnsi="宋体"/>
          <w:b/>
          <w:color w:val="auto"/>
        </w:rPr>
        <w:t>5．</w:t>
      </w:r>
      <w:r>
        <w:rPr>
          <w:rFonts w:hint="eastAsia" w:hAnsi="宋体"/>
          <w:b/>
          <w:bCs/>
          <w:color w:val="auto"/>
        </w:rPr>
        <w:t>授权委托</w:t>
      </w:r>
    </w:p>
    <w:p>
      <w:pPr>
        <w:pStyle w:val="11"/>
        <w:adjustRightInd w:val="0"/>
        <w:snapToGrid w:val="0"/>
        <w:spacing w:line="360" w:lineRule="auto"/>
        <w:ind w:firstLine="420" w:firstLineChars="200"/>
        <w:rPr>
          <w:rFonts w:hint="eastAsia" w:hAnsi="宋体"/>
          <w:color w:val="auto"/>
        </w:rPr>
      </w:pPr>
      <w:r>
        <w:rPr>
          <w:rFonts w:hint="eastAsia" w:hAnsi="宋体"/>
          <w:color w:val="auto"/>
        </w:rPr>
        <w:t>5.1供应商代表为供应商法定代表人的，应持有法定代表人身份证明。供应商代表不是供应商法定代表人的，应持有法定代表人授权书，并附法定代表人身份证明。</w:t>
      </w:r>
    </w:p>
    <w:p>
      <w:pPr>
        <w:pStyle w:val="11"/>
        <w:adjustRightInd w:val="0"/>
        <w:snapToGrid w:val="0"/>
        <w:spacing w:line="360" w:lineRule="auto"/>
        <w:rPr>
          <w:rFonts w:hint="eastAsia" w:hAnsi="宋体"/>
          <w:b/>
          <w:color w:val="auto"/>
        </w:rPr>
      </w:pPr>
      <w:r>
        <w:rPr>
          <w:rFonts w:hint="eastAsia" w:hAnsi="宋体"/>
          <w:b/>
          <w:color w:val="auto"/>
        </w:rPr>
        <w:t>6．联合体形式</w:t>
      </w:r>
    </w:p>
    <w:p>
      <w:pPr>
        <w:pStyle w:val="11"/>
        <w:adjustRightInd w:val="0"/>
        <w:snapToGrid w:val="0"/>
        <w:spacing w:line="360" w:lineRule="auto"/>
        <w:ind w:firstLine="420" w:firstLineChars="200"/>
        <w:rPr>
          <w:rFonts w:hint="eastAsia" w:hAnsi="宋体"/>
          <w:color w:val="auto"/>
        </w:rPr>
      </w:pPr>
      <w:r>
        <w:rPr>
          <w:rFonts w:hint="eastAsia" w:hAnsi="宋体"/>
          <w:color w:val="auto"/>
        </w:rPr>
        <w:t>6.1除</w:t>
      </w:r>
      <w:r>
        <w:rPr>
          <w:rFonts w:hint="eastAsia" w:hAnsi="宋体"/>
          <w:b/>
          <w:color w:val="auto"/>
        </w:rPr>
        <w:t>磋商须知前附表</w:t>
      </w:r>
      <w:r>
        <w:rPr>
          <w:rFonts w:hint="eastAsia" w:hAnsi="宋体"/>
          <w:color w:val="auto"/>
        </w:rPr>
        <w:t>中另有规定，本次谈判采购不接受为联合体形式的供应商。</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6.2供应商</w:t>
      </w:r>
      <w:r>
        <w:rPr>
          <w:rFonts w:hint="eastAsia" w:hAnsi="宋体"/>
          <w:color w:val="auto"/>
        </w:rPr>
        <w:t>为联合体形式的</w:t>
      </w:r>
      <w:r>
        <w:rPr>
          <w:rFonts w:hint="eastAsia" w:ascii="宋体" w:hAnsi="宋体"/>
          <w:color w:val="auto"/>
          <w:szCs w:val="21"/>
        </w:rPr>
        <w:t>，除应符合本章第3条规定外，还应遵守以下规定：</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（l）联合体各方必须签订联合体协议书，明确联合体牵头人和各方的义务、工作、合同工作量比例；</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（2）联合体各方均应当符合本章第3.1</w:t>
      </w:r>
      <w:r>
        <w:rPr>
          <w:rFonts w:hint="eastAsia" w:ascii="宋体" w:hAnsi="宋体" w:cs="宋体"/>
          <w:color w:val="auto"/>
          <w:kern w:val="0"/>
          <w:szCs w:val="21"/>
          <w:lang w:val="zh-CN"/>
        </w:rPr>
        <w:t>款</w:t>
      </w:r>
      <w:r>
        <w:rPr>
          <w:rFonts w:hint="eastAsia" w:ascii="宋体" w:hAnsi="宋体"/>
          <w:color w:val="auto"/>
          <w:szCs w:val="21"/>
        </w:rPr>
        <w:t>规定的供应商基本资格条件；</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（3）</w:t>
      </w:r>
      <w:r>
        <w:rPr>
          <w:rFonts w:hint="eastAsia" w:ascii="宋体" w:hAnsi="宋体"/>
          <w:color w:val="auto"/>
        </w:rPr>
        <w:t>除</w:t>
      </w:r>
      <w:r>
        <w:rPr>
          <w:rFonts w:hint="eastAsia" w:ascii="宋体" w:hAnsi="宋体"/>
          <w:b/>
          <w:color w:val="auto"/>
        </w:rPr>
        <w:t>磋商须知前附表</w:t>
      </w:r>
      <w:r>
        <w:rPr>
          <w:rFonts w:hint="eastAsia" w:ascii="宋体" w:hAnsi="宋体"/>
          <w:color w:val="auto"/>
        </w:rPr>
        <w:t>中另有规定，</w:t>
      </w:r>
      <w:r>
        <w:rPr>
          <w:rFonts w:hint="eastAsia" w:ascii="宋体" w:hAnsi="宋体"/>
          <w:color w:val="auto"/>
          <w:szCs w:val="21"/>
        </w:rPr>
        <w:t>联合体各方中至少有一方应当符合本章第3.1</w:t>
      </w:r>
      <w:r>
        <w:rPr>
          <w:rFonts w:hint="eastAsia" w:ascii="宋体" w:hAnsi="宋体" w:cs="宋体"/>
          <w:color w:val="auto"/>
          <w:kern w:val="0"/>
          <w:szCs w:val="21"/>
          <w:lang w:val="zh-CN"/>
        </w:rPr>
        <w:t>款</w:t>
      </w:r>
      <w:r>
        <w:rPr>
          <w:rFonts w:hint="eastAsia" w:ascii="宋体" w:hAnsi="宋体"/>
          <w:color w:val="auto"/>
          <w:szCs w:val="21"/>
        </w:rPr>
        <w:t>规定的供应商特定资格条件；</w:t>
      </w:r>
    </w:p>
    <w:p>
      <w:pPr>
        <w:adjustRightInd w:val="0"/>
        <w:snapToGrid w:val="0"/>
        <w:spacing w:line="360" w:lineRule="auto"/>
        <w:ind w:firstLine="420" w:firstLineChars="200"/>
        <w:jc w:val="left"/>
        <w:rPr>
          <w:rFonts w:hint="eastAsia" w:ascii="宋体" w:hAnsi="宋体" w:cs="宋体"/>
          <w:color w:val="auto"/>
          <w:kern w:val="0"/>
          <w:szCs w:val="21"/>
          <w:lang w:val="zh-CN"/>
        </w:rPr>
      </w:pPr>
      <w:r>
        <w:rPr>
          <w:rFonts w:hint="eastAsia" w:ascii="宋体" w:hAnsi="宋体"/>
          <w:color w:val="auto"/>
          <w:szCs w:val="21"/>
        </w:rPr>
        <w:t>（4）</w:t>
      </w:r>
      <w:r>
        <w:rPr>
          <w:rFonts w:hint="eastAsia" w:ascii="宋体" w:hAnsi="宋体" w:cs="宋体"/>
          <w:color w:val="auto"/>
          <w:kern w:val="0"/>
          <w:szCs w:val="21"/>
          <w:lang w:val="zh-CN"/>
        </w:rPr>
        <w:t>联合体各方不得再单独或与其他供应商组成新的联合体参加同一项目的采购活动。</w:t>
      </w:r>
    </w:p>
    <w:p>
      <w:pPr>
        <w:adjustRightInd w:val="0"/>
        <w:snapToGrid w:val="0"/>
        <w:spacing w:line="360" w:lineRule="auto"/>
        <w:rPr>
          <w:rFonts w:hint="eastAsia" w:ascii="宋体" w:hAnsi="宋体"/>
          <w:b/>
          <w:color w:val="auto"/>
          <w:szCs w:val="21"/>
        </w:rPr>
      </w:pPr>
      <w:r>
        <w:rPr>
          <w:rFonts w:hint="eastAsia" w:ascii="宋体" w:hAnsi="宋体"/>
          <w:b/>
          <w:color w:val="auto"/>
          <w:szCs w:val="21"/>
        </w:rPr>
        <w:t>7.现场勘察</w:t>
      </w:r>
    </w:p>
    <w:p>
      <w:pPr>
        <w:pStyle w:val="25"/>
        <w:ind w:left="0" w:leftChars="0" w:firstLine="0" w:firstLineChars="0"/>
        <w:rPr>
          <w:rFonts w:hint="default" w:eastAsia="宋体"/>
          <w:color w:val="auto"/>
          <w:lang w:val="en-US" w:eastAsia="zh-CN"/>
        </w:rPr>
      </w:pPr>
      <w:r>
        <w:rPr>
          <w:rFonts w:hint="eastAsia" w:ascii="宋体" w:hAnsi="宋体"/>
          <w:b/>
          <w:color w:val="auto"/>
          <w:szCs w:val="21"/>
          <w:lang w:val="en-US" w:eastAsia="zh-CN"/>
        </w:rPr>
        <w:t xml:space="preserve">  </w:t>
      </w:r>
      <w:r>
        <w:rPr>
          <w:rFonts w:hint="eastAsia" w:ascii="宋体" w:hAnsi="宋体" w:eastAsia="宋体" w:cs="宋体"/>
          <w:color w:val="auto"/>
          <w:kern w:val="0"/>
          <w:sz w:val="21"/>
          <w:szCs w:val="21"/>
          <w:lang w:val="en-US" w:eastAsia="zh-CN" w:bidi="ar-SA"/>
        </w:rPr>
        <w:t xml:space="preserve">不安排现场勘察 </w:t>
      </w:r>
    </w:p>
    <w:p>
      <w:pPr>
        <w:adjustRightInd w:val="0"/>
        <w:snapToGrid w:val="0"/>
        <w:spacing w:line="360" w:lineRule="auto"/>
        <w:jc w:val="left"/>
        <w:rPr>
          <w:rFonts w:hint="eastAsia" w:ascii="宋体" w:hAnsi="宋体"/>
          <w:b/>
          <w:color w:val="auto"/>
          <w:szCs w:val="21"/>
        </w:rPr>
      </w:pPr>
      <w:r>
        <w:rPr>
          <w:rFonts w:hint="eastAsia" w:ascii="宋体" w:hAnsi="宋体"/>
          <w:b/>
          <w:color w:val="auto"/>
          <w:szCs w:val="21"/>
        </w:rPr>
        <w:t>8.采购进口产品</w:t>
      </w:r>
    </w:p>
    <w:p>
      <w:pPr>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olor w:val="auto"/>
          <w:szCs w:val="21"/>
        </w:rPr>
        <w:t>8.1除</w:t>
      </w:r>
      <w:r>
        <w:rPr>
          <w:rFonts w:hint="eastAsia" w:ascii="宋体" w:hAnsi="宋体"/>
          <w:b/>
          <w:color w:val="auto"/>
          <w:szCs w:val="21"/>
        </w:rPr>
        <w:t>磋商文件前附表</w:t>
      </w:r>
      <w:r>
        <w:rPr>
          <w:rFonts w:hint="eastAsia" w:ascii="宋体" w:hAnsi="宋体"/>
          <w:color w:val="auto"/>
          <w:szCs w:val="21"/>
        </w:rPr>
        <w:t>另有规定外，本项目</w:t>
      </w:r>
      <w:r>
        <w:rPr>
          <w:rFonts w:hint="eastAsia" w:ascii="宋体" w:hAnsi="宋体" w:cs="宋体"/>
          <w:color w:val="auto"/>
          <w:kern w:val="0"/>
          <w:szCs w:val="21"/>
        </w:rPr>
        <w:t>拒绝进口产品参加</w:t>
      </w:r>
      <w:r>
        <w:rPr>
          <w:rFonts w:hint="eastAsia" w:ascii="宋体" w:hAnsi="宋体"/>
          <w:color w:val="auto"/>
          <w:szCs w:val="21"/>
          <w:lang w:eastAsia="zh-CN"/>
        </w:rPr>
        <w:t>竞争磋商</w:t>
      </w:r>
      <w:r>
        <w:rPr>
          <w:rFonts w:hint="eastAsia" w:ascii="宋体" w:hAnsi="宋体"/>
          <w:color w:val="auto"/>
          <w:szCs w:val="21"/>
        </w:rPr>
        <w:t>采购活动</w:t>
      </w:r>
      <w:r>
        <w:rPr>
          <w:rFonts w:hint="eastAsia" w:ascii="宋体" w:hAnsi="宋体" w:cs="宋体"/>
          <w:color w:val="auto"/>
          <w:kern w:val="0"/>
          <w:szCs w:val="21"/>
        </w:rPr>
        <w:t>。</w:t>
      </w:r>
    </w:p>
    <w:p>
      <w:pPr>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8.2</w:t>
      </w:r>
      <w:r>
        <w:rPr>
          <w:rFonts w:hint="eastAsia" w:ascii="宋体" w:hAnsi="宋体"/>
          <w:color w:val="auto"/>
          <w:szCs w:val="21"/>
        </w:rPr>
        <w:t>本章第7.1</w:t>
      </w:r>
      <w:r>
        <w:rPr>
          <w:rFonts w:hint="eastAsia" w:ascii="宋体" w:hAnsi="宋体" w:cs="宋体"/>
          <w:color w:val="auto"/>
          <w:kern w:val="0"/>
          <w:szCs w:val="21"/>
          <w:lang w:val="zh-CN"/>
        </w:rPr>
        <w:t>款</w:t>
      </w:r>
      <w:r>
        <w:rPr>
          <w:rFonts w:hint="eastAsia" w:ascii="宋体" w:hAnsi="宋体"/>
          <w:color w:val="auto"/>
          <w:szCs w:val="21"/>
        </w:rPr>
        <w:t>规定</w:t>
      </w:r>
      <w:r>
        <w:rPr>
          <w:rFonts w:ascii="宋体" w:hAnsi="宋体" w:cs="宋体"/>
          <w:color w:val="auto"/>
          <w:kern w:val="0"/>
          <w:szCs w:val="21"/>
        </w:rPr>
        <w:t>同意购买进口产品的</w:t>
      </w:r>
      <w:r>
        <w:rPr>
          <w:rFonts w:hint="eastAsia" w:ascii="宋体" w:hAnsi="宋体" w:cs="宋体"/>
          <w:color w:val="auto"/>
          <w:kern w:val="0"/>
          <w:szCs w:val="21"/>
        </w:rPr>
        <w:t>，</w:t>
      </w:r>
      <w:r>
        <w:rPr>
          <w:rFonts w:hint="eastAsia" w:ascii="宋体" w:hAnsi="宋体"/>
          <w:color w:val="auto"/>
          <w:szCs w:val="21"/>
        </w:rPr>
        <w:t>本项目</w:t>
      </w:r>
      <w:r>
        <w:rPr>
          <w:rFonts w:hint="eastAsia" w:ascii="宋体" w:hAnsi="宋体" w:cs="宋体"/>
          <w:color w:val="auto"/>
          <w:kern w:val="0"/>
          <w:szCs w:val="21"/>
          <w:lang w:val="zh-CN"/>
        </w:rPr>
        <w:t>采购活动</w:t>
      </w:r>
      <w:r>
        <w:rPr>
          <w:rFonts w:hint="eastAsia" w:ascii="宋体" w:hAnsi="宋体" w:cs="宋体"/>
          <w:color w:val="auto"/>
          <w:kern w:val="0"/>
          <w:szCs w:val="21"/>
        </w:rPr>
        <w:t>不</w:t>
      </w:r>
      <w:r>
        <w:rPr>
          <w:rFonts w:ascii="宋体" w:hAnsi="宋体" w:cs="宋体"/>
          <w:color w:val="auto"/>
          <w:kern w:val="0"/>
          <w:szCs w:val="21"/>
        </w:rPr>
        <w:t>限制满足</w:t>
      </w:r>
      <w:r>
        <w:rPr>
          <w:rFonts w:hint="eastAsia" w:ascii="宋体" w:hAnsi="宋体"/>
          <w:color w:val="auto"/>
          <w:szCs w:val="21"/>
        </w:rPr>
        <w:t>磋商文件要求</w:t>
      </w:r>
      <w:r>
        <w:rPr>
          <w:rFonts w:ascii="宋体" w:hAnsi="宋体" w:cs="宋体"/>
          <w:color w:val="auto"/>
          <w:kern w:val="0"/>
          <w:szCs w:val="21"/>
        </w:rPr>
        <w:t>的国内产品参与</w:t>
      </w:r>
      <w:r>
        <w:rPr>
          <w:rFonts w:hint="eastAsia" w:ascii="宋体" w:hAnsi="宋体"/>
          <w:color w:val="auto"/>
          <w:szCs w:val="21"/>
          <w:lang w:eastAsia="zh-CN"/>
        </w:rPr>
        <w:t>竞争磋商</w:t>
      </w:r>
      <w:r>
        <w:rPr>
          <w:rFonts w:ascii="宋体" w:hAnsi="宋体" w:cs="宋体"/>
          <w:color w:val="auto"/>
          <w:kern w:val="0"/>
          <w:szCs w:val="21"/>
        </w:rPr>
        <w:t>。</w:t>
      </w:r>
    </w:p>
    <w:p>
      <w:pPr>
        <w:adjustRightInd w:val="0"/>
        <w:snapToGrid w:val="0"/>
        <w:spacing w:line="360" w:lineRule="auto"/>
        <w:jc w:val="left"/>
        <w:rPr>
          <w:rFonts w:hint="eastAsia" w:ascii="宋体" w:hAnsi="宋体" w:eastAsia="宋体"/>
          <w:b/>
          <w:color w:val="auto"/>
          <w:szCs w:val="21"/>
          <w:lang w:eastAsia="zh-CN"/>
        </w:rPr>
      </w:pPr>
      <w:r>
        <w:rPr>
          <w:rFonts w:hint="eastAsia" w:ascii="宋体" w:hAnsi="宋体"/>
          <w:b/>
          <w:bCs/>
          <w:color w:val="auto"/>
          <w:szCs w:val="21"/>
        </w:rPr>
        <w:t>9.</w:t>
      </w:r>
      <w:r>
        <w:rPr>
          <w:rFonts w:hint="eastAsia" w:ascii="宋体" w:hAnsi="宋体"/>
          <w:b/>
          <w:color w:val="auto"/>
          <w:szCs w:val="21"/>
        </w:rPr>
        <w:t xml:space="preserve"> 采购政策支持</w:t>
      </w:r>
      <w:r>
        <w:rPr>
          <w:rFonts w:hint="eastAsia" w:ascii="宋体" w:hAnsi="宋体"/>
          <w:b/>
          <w:color w:val="auto"/>
          <w:szCs w:val="21"/>
          <w:lang w:eastAsia="zh-CN"/>
        </w:rPr>
        <w:t>（</w:t>
      </w:r>
      <w:r>
        <w:rPr>
          <w:rFonts w:hint="eastAsia" w:ascii="宋体" w:hAnsi="宋体"/>
          <w:b/>
          <w:color w:val="auto"/>
          <w:szCs w:val="21"/>
          <w:lang w:val="en-US" w:eastAsia="zh-CN"/>
        </w:rPr>
        <w:t>本项目不适用</w:t>
      </w:r>
      <w:r>
        <w:rPr>
          <w:rFonts w:hint="eastAsia" w:ascii="宋体" w:hAnsi="宋体"/>
          <w:b/>
          <w:color w:val="auto"/>
          <w:szCs w:val="21"/>
          <w:lang w:eastAsia="zh-CN"/>
        </w:rPr>
        <w:t>）</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9.6供应商有融资、担保需求的，具体办理流程可向</w:t>
      </w:r>
      <w:r>
        <w:rPr>
          <w:rFonts w:hint="eastAsia" w:ascii="宋体" w:hAnsi="宋体"/>
          <w:b/>
          <w:color w:val="auto"/>
          <w:szCs w:val="21"/>
        </w:rPr>
        <w:t>磋商须知前附表</w:t>
      </w:r>
      <w:r>
        <w:rPr>
          <w:rFonts w:hint="eastAsia" w:ascii="宋体" w:hAnsi="宋体"/>
          <w:color w:val="auto"/>
          <w:szCs w:val="21"/>
        </w:rPr>
        <w:t>所列金融机构和担保机构询问。</w:t>
      </w:r>
    </w:p>
    <w:p>
      <w:pPr>
        <w:adjustRightInd w:val="0"/>
        <w:snapToGrid w:val="0"/>
        <w:spacing w:line="360" w:lineRule="auto"/>
        <w:ind w:left="910" w:hanging="902" w:hangingChars="376"/>
        <w:rPr>
          <w:rFonts w:hint="eastAsia" w:ascii="黑体" w:hAnsi="宋体" w:eastAsia="黑体"/>
          <w:color w:val="auto"/>
          <w:sz w:val="24"/>
        </w:rPr>
      </w:pPr>
      <w:r>
        <w:rPr>
          <w:rFonts w:hint="eastAsia" w:ascii="黑体" w:hAnsi="宋体" w:eastAsia="黑体"/>
          <w:color w:val="auto"/>
          <w:sz w:val="24"/>
        </w:rPr>
        <w:t>二、磋商文件</w:t>
      </w:r>
    </w:p>
    <w:p>
      <w:pPr>
        <w:adjustRightInd w:val="0"/>
        <w:snapToGrid w:val="0"/>
        <w:spacing w:line="360" w:lineRule="auto"/>
        <w:rPr>
          <w:rFonts w:hint="eastAsia" w:ascii="宋体" w:hAnsi="宋体"/>
          <w:b/>
          <w:bCs/>
          <w:color w:val="auto"/>
          <w:szCs w:val="21"/>
        </w:rPr>
      </w:pPr>
      <w:r>
        <w:rPr>
          <w:rFonts w:hint="eastAsia" w:ascii="宋体" w:hAnsi="宋体"/>
          <w:b/>
          <w:bCs/>
          <w:color w:val="auto"/>
          <w:szCs w:val="21"/>
        </w:rPr>
        <w:t>10．磋商文件的组成</w:t>
      </w:r>
    </w:p>
    <w:p>
      <w:pPr>
        <w:pStyle w:val="11"/>
        <w:adjustRightInd w:val="0"/>
        <w:snapToGrid w:val="0"/>
        <w:spacing w:line="360" w:lineRule="auto"/>
        <w:ind w:firstLine="420" w:firstLineChars="200"/>
        <w:rPr>
          <w:rFonts w:hint="eastAsia" w:hAnsi="宋体"/>
          <w:color w:val="auto"/>
        </w:rPr>
      </w:pPr>
      <w:r>
        <w:rPr>
          <w:rFonts w:hint="eastAsia" w:hAnsi="宋体"/>
          <w:color w:val="auto"/>
        </w:rPr>
        <w:t>10.1 磋商文件由下列文件组成：</w:t>
      </w:r>
    </w:p>
    <w:p>
      <w:pPr>
        <w:pStyle w:val="11"/>
        <w:adjustRightInd w:val="0"/>
        <w:snapToGrid w:val="0"/>
        <w:spacing w:line="360" w:lineRule="auto"/>
        <w:ind w:firstLine="420" w:firstLineChars="200"/>
        <w:rPr>
          <w:rFonts w:hint="eastAsia" w:hAnsi="宋体"/>
          <w:color w:val="auto"/>
        </w:rPr>
      </w:pPr>
      <w:r>
        <w:rPr>
          <w:rFonts w:hint="eastAsia" w:hAnsi="宋体"/>
          <w:color w:val="auto"/>
        </w:rPr>
        <w:t>第一章 磋商邀请</w:t>
      </w:r>
    </w:p>
    <w:p>
      <w:pPr>
        <w:pStyle w:val="11"/>
        <w:adjustRightInd w:val="0"/>
        <w:snapToGrid w:val="0"/>
        <w:spacing w:line="360" w:lineRule="auto"/>
        <w:ind w:firstLine="420" w:firstLineChars="200"/>
        <w:rPr>
          <w:rFonts w:hint="eastAsia" w:hAnsi="宋体"/>
          <w:color w:val="auto"/>
        </w:rPr>
      </w:pPr>
      <w:r>
        <w:rPr>
          <w:rFonts w:hint="eastAsia" w:hAnsi="宋体"/>
          <w:color w:val="auto"/>
        </w:rPr>
        <w:t>第二章 磋商须知</w:t>
      </w:r>
    </w:p>
    <w:p>
      <w:pPr>
        <w:pStyle w:val="11"/>
        <w:adjustRightInd w:val="0"/>
        <w:snapToGrid w:val="0"/>
        <w:spacing w:line="360" w:lineRule="auto"/>
        <w:ind w:firstLine="420" w:firstLineChars="200"/>
        <w:rPr>
          <w:rFonts w:hint="eastAsia" w:hAnsi="宋体"/>
          <w:color w:val="auto"/>
        </w:rPr>
      </w:pPr>
      <w:r>
        <w:rPr>
          <w:rFonts w:hint="eastAsia" w:hAnsi="宋体"/>
          <w:color w:val="auto"/>
        </w:rPr>
        <w:t>第三章 采购合同格式条款</w:t>
      </w:r>
    </w:p>
    <w:p>
      <w:pPr>
        <w:pStyle w:val="11"/>
        <w:adjustRightInd w:val="0"/>
        <w:snapToGrid w:val="0"/>
        <w:spacing w:line="360" w:lineRule="auto"/>
        <w:ind w:firstLine="420" w:firstLineChars="200"/>
        <w:rPr>
          <w:rFonts w:hint="eastAsia" w:hAnsi="宋体"/>
          <w:color w:val="auto"/>
        </w:rPr>
      </w:pPr>
      <w:r>
        <w:rPr>
          <w:rFonts w:hint="eastAsia" w:hAnsi="宋体"/>
          <w:color w:val="auto"/>
        </w:rPr>
        <w:t>第四章 采购需求</w:t>
      </w:r>
    </w:p>
    <w:p>
      <w:pPr>
        <w:pStyle w:val="11"/>
        <w:adjustRightInd w:val="0"/>
        <w:snapToGrid w:val="0"/>
        <w:spacing w:line="360" w:lineRule="auto"/>
        <w:ind w:firstLine="420" w:firstLineChars="200"/>
        <w:rPr>
          <w:rFonts w:hint="eastAsia" w:hAnsi="宋体"/>
          <w:color w:val="auto"/>
        </w:rPr>
      </w:pPr>
      <w:r>
        <w:rPr>
          <w:rFonts w:hint="eastAsia" w:hAnsi="宋体"/>
          <w:color w:val="auto"/>
        </w:rPr>
        <w:t>第五章 响应文件组成</w:t>
      </w:r>
    </w:p>
    <w:p>
      <w:pPr>
        <w:pStyle w:val="11"/>
        <w:adjustRightInd w:val="0"/>
        <w:snapToGrid w:val="0"/>
        <w:spacing w:line="360" w:lineRule="auto"/>
        <w:ind w:firstLine="420" w:firstLineChars="200"/>
        <w:rPr>
          <w:rFonts w:hint="eastAsia" w:hAnsi="宋体" w:cs="宋体"/>
          <w:color w:val="auto"/>
          <w:kern w:val="0"/>
        </w:rPr>
      </w:pPr>
      <w:r>
        <w:rPr>
          <w:rFonts w:hint="eastAsia"/>
          <w:color w:val="auto"/>
        </w:rPr>
        <w:t>10.2</w:t>
      </w:r>
      <w:r>
        <w:rPr>
          <w:rFonts w:hint="eastAsia" w:hAnsi="宋体" w:cs="宋体"/>
          <w:color w:val="auto"/>
          <w:kern w:val="0"/>
        </w:rPr>
        <w:t>磋商小组根据与供应商磋商情况可能实质性变动的内容，包括采购需求中的技术、服务要求以及合同条款，</w:t>
      </w:r>
      <w:r>
        <w:rPr>
          <w:rFonts w:hint="eastAsia"/>
          <w:color w:val="auto"/>
        </w:rPr>
        <w:t>在</w:t>
      </w:r>
      <w:r>
        <w:rPr>
          <w:rFonts w:hint="eastAsia"/>
          <w:b/>
          <w:color w:val="auto"/>
        </w:rPr>
        <w:t>磋商须知前附表</w:t>
      </w:r>
      <w:r>
        <w:rPr>
          <w:rFonts w:hint="eastAsia"/>
          <w:color w:val="auto"/>
        </w:rPr>
        <w:t>中明确。</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rPr>
        <w:t>10.3</w:t>
      </w:r>
      <w:r>
        <w:rPr>
          <w:rFonts w:hint="eastAsia" w:ascii="宋体" w:hAnsi="宋体"/>
          <w:color w:val="auto"/>
          <w:szCs w:val="21"/>
        </w:rPr>
        <w:t>供应商应仔细阅读</w:t>
      </w:r>
      <w:r>
        <w:rPr>
          <w:rFonts w:hint="eastAsia" w:ascii="宋体" w:hAnsi="宋体"/>
          <w:bCs/>
          <w:color w:val="auto"/>
          <w:szCs w:val="21"/>
        </w:rPr>
        <w:t>磋商</w:t>
      </w:r>
      <w:r>
        <w:rPr>
          <w:rFonts w:hint="eastAsia" w:ascii="宋体" w:hAnsi="宋体"/>
          <w:color w:val="auto"/>
          <w:szCs w:val="21"/>
        </w:rPr>
        <w:t>文件的全部内容，按照</w:t>
      </w:r>
      <w:r>
        <w:rPr>
          <w:rFonts w:hint="eastAsia" w:ascii="宋体" w:hAnsi="宋体"/>
          <w:bCs/>
          <w:color w:val="auto"/>
          <w:szCs w:val="21"/>
        </w:rPr>
        <w:t>磋商</w:t>
      </w:r>
      <w:r>
        <w:rPr>
          <w:rFonts w:hint="eastAsia" w:ascii="宋体" w:hAnsi="宋体"/>
          <w:color w:val="auto"/>
          <w:szCs w:val="21"/>
        </w:rPr>
        <w:t>文件要求编制</w:t>
      </w:r>
      <w:r>
        <w:rPr>
          <w:rFonts w:hint="eastAsia"/>
          <w:color w:val="auto"/>
          <w:szCs w:val="21"/>
        </w:rPr>
        <w:t>响应</w:t>
      </w:r>
      <w:r>
        <w:rPr>
          <w:rFonts w:hint="eastAsia" w:ascii="宋体" w:hAnsi="宋体"/>
          <w:color w:val="auto"/>
          <w:szCs w:val="21"/>
        </w:rPr>
        <w:t>文件。任何对</w:t>
      </w:r>
      <w:r>
        <w:rPr>
          <w:rFonts w:hint="eastAsia" w:ascii="宋体" w:hAnsi="宋体"/>
          <w:bCs/>
          <w:color w:val="auto"/>
          <w:szCs w:val="21"/>
        </w:rPr>
        <w:t>磋商</w:t>
      </w:r>
      <w:r>
        <w:rPr>
          <w:rFonts w:hint="eastAsia" w:ascii="宋体" w:hAnsi="宋体"/>
          <w:color w:val="auto"/>
          <w:szCs w:val="21"/>
        </w:rPr>
        <w:t>文件的忽略或误解不能作为</w:t>
      </w:r>
      <w:r>
        <w:rPr>
          <w:rFonts w:hint="eastAsia"/>
          <w:color w:val="auto"/>
          <w:szCs w:val="21"/>
        </w:rPr>
        <w:t>响应</w:t>
      </w:r>
      <w:r>
        <w:rPr>
          <w:rFonts w:hint="eastAsia" w:ascii="宋体" w:hAnsi="宋体"/>
          <w:color w:val="auto"/>
          <w:szCs w:val="21"/>
        </w:rPr>
        <w:t>文件存在缺陷或瑕疵的理由，其风险由供应商承担。</w:t>
      </w:r>
    </w:p>
    <w:p>
      <w:pPr>
        <w:adjustRightInd w:val="0"/>
        <w:snapToGrid w:val="0"/>
        <w:spacing w:line="360" w:lineRule="auto"/>
        <w:rPr>
          <w:rFonts w:hint="eastAsia" w:ascii="宋体" w:hAnsi="宋体"/>
          <w:b/>
          <w:color w:val="auto"/>
          <w:szCs w:val="21"/>
        </w:rPr>
      </w:pPr>
      <w:r>
        <w:rPr>
          <w:rFonts w:hint="eastAsia" w:ascii="宋体" w:hAnsi="宋体"/>
          <w:b/>
          <w:color w:val="auto"/>
          <w:szCs w:val="21"/>
        </w:rPr>
        <w:t>11.</w:t>
      </w:r>
      <w:r>
        <w:rPr>
          <w:rFonts w:hint="eastAsia"/>
          <w:b/>
          <w:color w:val="auto"/>
        </w:rPr>
        <w:t xml:space="preserve"> </w:t>
      </w:r>
      <w:r>
        <w:rPr>
          <w:rFonts w:hint="eastAsia" w:ascii="宋体" w:hAnsi="宋体"/>
          <w:b/>
          <w:color w:val="auto"/>
          <w:szCs w:val="21"/>
        </w:rPr>
        <w:t>磋商文件的提供期限</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11.1磋商文件的提供期限自开始发出之日起不得少于五日。具体提供期限见</w:t>
      </w:r>
      <w:r>
        <w:rPr>
          <w:rFonts w:hint="eastAsia" w:ascii="宋体" w:hAnsi="宋体"/>
          <w:b/>
          <w:color w:val="auto"/>
          <w:szCs w:val="21"/>
        </w:rPr>
        <w:t>磋商文件前附表</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s="宋体"/>
          <w:color w:val="auto"/>
          <w:szCs w:val="21"/>
        </w:rPr>
      </w:pPr>
      <w:r>
        <w:rPr>
          <w:rFonts w:hint="eastAsia" w:ascii="宋体" w:hAnsi="宋体"/>
          <w:color w:val="auto"/>
          <w:szCs w:val="21"/>
        </w:rPr>
        <w:t>11.2</w:t>
      </w:r>
      <w:r>
        <w:rPr>
          <w:rFonts w:hint="eastAsia" w:ascii="宋体" w:hAnsi="宋体" w:cs="宋体"/>
          <w:color w:val="auto"/>
          <w:szCs w:val="21"/>
        </w:rPr>
        <w:t>凡符合资格要求并有意参加投标的供应商, 登录磋商须知前附表指定的信息公告媒体下载磋商文件。</w:t>
      </w:r>
    </w:p>
    <w:p>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11.3各供应商自行在磋商须知前附表指定的网站下载或查阅磋商相关文件和资料等，恕不另行通知，如有遗漏招标采购单位概不负责。</w:t>
      </w:r>
    </w:p>
    <w:p>
      <w:pPr>
        <w:pStyle w:val="11"/>
        <w:adjustRightInd w:val="0"/>
        <w:snapToGrid w:val="0"/>
        <w:spacing w:line="360" w:lineRule="auto"/>
        <w:rPr>
          <w:rFonts w:hint="eastAsia" w:hAnsi="宋体"/>
          <w:color w:val="auto"/>
        </w:rPr>
      </w:pPr>
      <w:r>
        <w:rPr>
          <w:rFonts w:hint="eastAsia" w:hAnsi="宋体"/>
          <w:b/>
          <w:color w:val="auto"/>
        </w:rPr>
        <w:t>12.</w:t>
      </w:r>
      <w:r>
        <w:rPr>
          <w:rFonts w:hint="eastAsia" w:hAnsi="宋体" w:cs="宋体"/>
          <w:b/>
          <w:color w:val="auto"/>
          <w:kern w:val="0"/>
        </w:rPr>
        <w:t>提交首次响应文件</w:t>
      </w:r>
      <w:r>
        <w:rPr>
          <w:rFonts w:hint="eastAsia" w:hAnsi="宋体"/>
          <w:b/>
          <w:color w:val="auto"/>
        </w:rPr>
        <w:t>的</w:t>
      </w:r>
      <w:r>
        <w:rPr>
          <w:rFonts w:hint="eastAsia" w:hAnsi="宋体" w:cs="宋体"/>
          <w:b/>
          <w:color w:val="auto"/>
          <w:kern w:val="0"/>
        </w:rPr>
        <w:t>截止</w:t>
      </w:r>
      <w:r>
        <w:rPr>
          <w:rFonts w:hint="eastAsia" w:hAnsi="宋体"/>
          <w:b/>
          <w:color w:val="auto"/>
        </w:rPr>
        <w:t>时间</w:t>
      </w:r>
    </w:p>
    <w:p>
      <w:pPr>
        <w:pStyle w:val="11"/>
        <w:adjustRightInd w:val="0"/>
        <w:snapToGrid w:val="0"/>
        <w:spacing w:line="360" w:lineRule="auto"/>
        <w:ind w:firstLine="420" w:firstLineChars="200"/>
        <w:rPr>
          <w:rFonts w:hint="eastAsia" w:hAnsi="宋体"/>
          <w:color w:val="auto"/>
        </w:rPr>
      </w:pPr>
      <w:r>
        <w:rPr>
          <w:rFonts w:hint="eastAsia" w:hAnsi="宋体"/>
          <w:color w:val="auto"/>
        </w:rPr>
        <w:t>12.1</w:t>
      </w:r>
      <w:r>
        <w:rPr>
          <w:rFonts w:hint="eastAsia" w:hAnsi="宋体" w:cs="宋体"/>
          <w:color w:val="auto"/>
          <w:kern w:val="0"/>
        </w:rPr>
        <w:t>供应商提交首次响应文件截止</w:t>
      </w:r>
      <w:r>
        <w:rPr>
          <w:rFonts w:hint="eastAsia" w:hAnsi="宋体"/>
          <w:color w:val="auto"/>
        </w:rPr>
        <w:t>时间见</w:t>
      </w:r>
      <w:r>
        <w:rPr>
          <w:rFonts w:hint="eastAsia" w:hAnsi="宋体"/>
          <w:b/>
          <w:color w:val="auto"/>
        </w:rPr>
        <w:t>磋商须知前附表</w:t>
      </w:r>
      <w:r>
        <w:rPr>
          <w:rFonts w:hint="eastAsia" w:hAnsi="宋体"/>
          <w:color w:val="auto"/>
        </w:rPr>
        <w:t>。</w:t>
      </w:r>
    </w:p>
    <w:p>
      <w:pPr>
        <w:adjustRightInd w:val="0"/>
        <w:snapToGrid w:val="0"/>
        <w:spacing w:line="360" w:lineRule="auto"/>
        <w:rPr>
          <w:rFonts w:hint="eastAsia" w:ascii="宋体" w:hAnsi="宋体"/>
          <w:b/>
          <w:bCs/>
          <w:color w:val="auto"/>
          <w:szCs w:val="21"/>
        </w:rPr>
      </w:pPr>
      <w:r>
        <w:rPr>
          <w:rFonts w:hint="eastAsia" w:ascii="宋体" w:hAnsi="宋体"/>
          <w:b/>
          <w:bCs/>
          <w:color w:val="auto"/>
          <w:szCs w:val="21"/>
        </w:rPr>
        <w:t>13.磋商文件的澄清</w:t>
      </w:r>
      <w:r>
        <w:rPr>
          <w:rFonts w:hint="eastAsia" w:ascii="宋体" w:hAnsi="宋体"/>
          <w:b/>
          <w:color w:val="auto"/>
          <w:kern w:val="0"/>
          <w:szCs w:val="21"/>
          <w:lang w:val="zh-CN"/>
        </w:rPr>
        <w:t>或者</w:t>
      </w:r>
      <w:r>
        <w:rPr>
          <w:rFonts w:hint="eastAsia" w:ascii="宋体" w:hAnsi="宋体"/>
          <w:b/>
          <w:bCs/>
          <w:color w:val="auto"/>
          <w:szCs w:val="21"/>
        </w:rPr>
        <w:t>修改</w:t>
      </w:r>
    </w:p>
    <w:p>
      <w:pPr>
        <w:adjustRightInd w:val="0"/>
        <w:snapToGrid w:val="0"/>
        <w:spacing w:line="360" w:lineRule="auto"/>
        <w:ind w:right="-105" w:rightChars="-50" w:firstLine="420" w:firstLineChars="200"/>
        <w:rPr>
          <w:rFonts w:hint="eastAsia" w:ascii="宋体" w:hAnsi="宋体" w:cs="宋体"/>
          <w:color w:val="auto"/>
          <w:kern w:val="0"/>
          <w:szCs w:val="21"/>
        </w:rPr>
      </w:pPr>
      <w:r>
        <w:rPr>
          <w:rFonts w:hint="eastAsia" w:ascii="宋体" w:hAnsi="宋体"/>
          <w:color w:val="auto"/>
          <w:szCs w:val="21"/>
        </w:rPr>
        <w:t>13.1在</w:t>
      </w:r>
      <w:r>
        <w:rPr>
          <w:rFonts w:hint="eastAsia" w:ascii="宋体" w:hAnsi="宋体" w:cs="宋体"/>
          <w:color w:val="auto"/>
          <w:kern w:val="0"/>
          <w:szCs w:val="21"/>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hint="eastAsia" w:ascii="宋体" w:hAnsi="宋体" w:cs="宋体"/>
          <w:color w:val="auto"/>
          <w:kern w:val="0"/>
          <w:szCs w:val="21"/>
        </w:rPr>
      </w:pPr>
      <w:r>
        <w:rPr>
          <w:rFonts w:hint="eastAsia" w:ascii="宋体" w:hAnsi="宋体" w:cs="宋体"/>
          <w:color w:val="auto"/>
          <w:szCs w:val="21"/>
        </w:rPr>
        <w:t>13.2澄清或者修改的内容可能影响响应文件编制的，采购人、采购代理机构应当在提交首次响应文件截止至少5日前，发布更正公告，不足5日的，采购人、采购代理机构应当顺延提交首次响应文件截止时间。</w:t>
      </w:r>
    </w:p>
    <w:p>
      <w:pPr>
        <w:pStyle w:val="11"/>
        <w:adjustRightInd w:val="0"/>
        <w:snapToGrid w:val="0"/>
        <w:spacing w:line="360" w:lineRule="auto"/>
        <w:ind w:firstLine="420" w:firstLineChars="200"/>
        <w:rPr>
          <w:rFonts w:hint="eastAsia"/>
          <w:color w:val="auto"/>
        </w:rPr>
      </w:pPr>
      <w:r>
        <w:rPr>
          <w:rFonts w:hint="eastAsia"/>
          <w:color w:val="auto"/>
        </w:rPr>
        <w:t>13.3</w:t>
      </w:r>
      <w:r>
        <w:rPr>
          <w:rFonts w:hint="eastAsia" w:hAnsi="宋体" w:cs="宋体"/>
          <w:color w:val="auto"/>
          <w:kern w:val="0"/>
        </w:rPr>
        <w:t>提交首次响应文件截止时间前对磋商文件澄清或者修改内容，为磋商文件的组成部分。</w:t>
      </w:r>
    </w:p>
    <w:p>
      <w:pPr>
        <w:adjustRightInd w:val="0"/>
        <w:snapToGrid w:val="0"/>
        <w:spacing w:line="360" w:lineRule="auto"/>
        <w:ind w:left="910" w:hanging="902" w:hangingChars="376"/>
        <w:rPr>
          <w:rFonts w:hint="eastAsia" w:ascii="黑体" w:hAnsi="宋体" w:eastAsia="黑体"/>
          <w:color w:val="auto"/>
          <w:sz w:val="24"/>
        </w:rPr>
      </w:pPr>
      <w:r>
        <w:rPr>
          <w:rFonts w:hint="eastAsia" w:ascii="黑体" w:hAnsi="宋体" w:eastAsia="黑体"/>
          <w:color w:val="auto"/>
          <w:sz w:val="24"/>
        </w:rPr>
        <w:t>三、响应文件</w:t>
      </w:r>
    </w:p>
    <w:p>
      <w:pPr>
        <w:adjustRightInd w:val="0"/>
        <w:snapToGrid w:val="0"/>
        <w:spacing w:line="360" w:lineRule="auto"/>
        <w:rPr>
          <w:rFonts w:hint="eastAsia" w:ascii="宋体" w:hAnsi="宋体"/>
          <w:b/>
          <w:bCs/>
          <w:color w:val="auto"/>
          <w:szCs w:val="21"/>
        </w:rPr>
      </w:pPr>
      <w:r>
        <w:rPr>
          <w:rFonts w:hint="eastAsia" w:ascii="宋体" w:hAnsi="宋体"/>
          <w:b/>
          <w:bCs/>
          <w:color w:val="auto"/>
          <w:szCs w:val="21"/>
        </w:rPr>
        <w:t>14.一般要求</w:t>
      </w:r>
    </w:p>
    <w:p>
      <w:pPr>
        <w:adjustRightInd w:val="0"/>
        <w:snapToGrid w:val="0"/>
        <w:spacing w:line="360" w:lineRule="auto"/>
        <w:ind w:firstLine="420" w:firstLineChars="200"/>
        <w:rPr>
          <w:rFonts w:hint="eastAsia" w:ascii="宋体" w:hAnsi="宋体"/>
          <w:bCs/>
          <w:color w:val="auto"/>
          <w:szCs w:val="21"/>
        </w:rPr>
      </w:pPr>
      <w:r>
        <w:rPr>
          <w:rFonts w:hint="eastAsia" w:ascii="宋体" w:hAnsi="宋体"/>
          <w:bCs/>
          <w:color w:val="auto"/>
          <w:szCs w:val="21"/>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hint="eastAsia" w:ascii="宋体" w:hAnsi="宋体"/>
          <w:bCs/>
          <w:color w:val="auto"/>
          <w:szCs w:val="21"/>
        </w:rPr>
      </w:pPr>
      <w:r>
        <w:rPr>
          <w:rFonts w:hint="eastAsia" w:ascii="宋体" w:hAnsi="宋体"/>
          <w:bCs/>
          <w:color w:val="auto"/>
          <w:szCs w:val="21"/>
        </w:rPr>
        <w:t xml:space="preserve">14.2 </w:t>
      </w:r>
      <w:r>
        <w:rPr>
          <w:rFonts w:hint="eastAsia" w:ascii="宋体" w:hAnsi="宋体"/>
          <w:color w:val="auto"/>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11"/>
        <w:adjustRightInd w:val="0"/>
        <w:snapToGrid w:val="0"/>
        <w:spacing w:line="360" w:lineRule="auto"/>
        <w:ind w:firstLine="420" w:firstLineChars="200"/>
        <w:rPr>
          <w:rFonts w:hint="eastAsia" w:hAnsi="宋体"/>
          <w:color w:val="auto"/>
        </w:rPr>
      </w:pPr>
      <w:r>
        <w:rPr>
          <w:rFonts w:hint="eastAsia" w:hAnsi="宋体"/>
          <w:bCs/>
          <w:color w:val="auto"/>
        </w:rPr>
        <w:t xml:space="preserve">14.3 </w:t>
      </w:r>
      <w:r>
        <w:rPr>
          <w:rFonts w:hint="eastAsia" w:hAnsi="宋体"/>
          <w:color w:val="auto"/>
        </w:rPr>
        <w:t>计量单位应使用我国法定计量单位，未列明时应默认为我国法定计量单位。</w:t>
      </w:r>
    </w:p>
    <w:p>
      <w:pPr>
        <w:pStyle w:val="11"/>
        <w:adjustRightInd w:val="0"/>
        <w:snapToGrid w:val="0"/>
        <w:spacing w:line="360" w:lineRule="auto"/>
        <w:ind w:firstLine="420" w:firstLineChars="200"/>
        <w:rPr>
          <w:rFonts w:hint="eastAsia" w:hAnsi="宋体"/>
          <w:color w:val="auto"/>
        </w:rPr>
      </w:pPr>
      <w:r>
        <w:rPr>
          <w:rFonts w:hint="eastAsia" w:hAnsi="宋体"/>
          <w:color w:val="auto"/>
        </w:rPr>
        <w:t>14.4 响应文件应采用书面形式，电报、传真、电子邮件形式的响应文件概不接受。</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14.5 供应商应按磋商文件中提供的响应文件格式填写。</w:t>
      </w:r>
    </w:p>
    <w:p>
      <w:pPr>
        <w:adjustRightInd w:val="0"/>
        <w:snapToGrid w:val="0"/>
        <w:spacing w:line="360" w:lineRule="auto"/>
        <w:rPr>
          <w:rFonts w:hint="eastAsia" w:ascii="宋体" w:hAnsi="宋体"/>
          <w:b/>
          <w:bCs/>
          <w:color w:val="auto"/>
          <w:szCs w:val="21"/>
        </w:rPr>
      </w:pPr>
      <w:r>
        <w:rPr>
          <w:rFonts w:hint="eastAsia" w:ascii="宋体" w:hAnsi="宋体"/>
          <w:b/>
          <w:bCs/>
          <w:color w:val="auto"/>
          <w:szCs w:val="21"/>
        </w:rPr>
        <w:t>15.</w:t>
      </w:r>
      <w:r>
        <w:rPr>
          <w:rFonts w:hint="eastAsia" w:ascii="宋体" w:hAnsi="宋体"/>
          <w:b/>
          <w:color w:val="auto"/>
          <w:szCs w:val="21"/>
        </w:rPr>
        <w:t>响应文件</w:t>
      </w:r>
      <w:r>
        <w:rPr>
          <w:rFonts w:hint="eastAsia" w:ascii="宋体" w:hAnsi="宋体"/>
          <w:b/>
          <w:bCs/>
          <w:color w:val="auto"/>
          <w:szCs w:val="21"/>
        </w:rPr>
        <w:t>的组成</w:t>
      </w:r>
    </w:p>
    <w:p>
      <w:pPr>
        <w:adjustRightInd w:val="0"/>
        <w:snapToGrid w:val="0"/>
        <w:spacing w:line="360" w:lineRule="auto"/>
        <w:ind w:firstLine="420" w:firstLineChars="200"/>
        <w:jc w:val="left"/>
        <w:outlineLvl w:val="0"/>
        <w:rPr>
          <w:rFonts w:hint="eastAsia" w:ascii="宋体" w:hAnsi="宋体"/>
          <w:color w:val="auto"/>
          <w:szCs w:val="21"/>
        </w:rPr>
      </w:pPr>
      <w:r>
        <w:rPr>
          <w:rFonts w:hint="eastAsia" w:ascii="宋体" w:hAnsi="宋体"/>
          <w:color w:val="auto"/>
        </w:rPr>
        <w:t>15.1</w:t>
      </w:r>
      <w:r>
        <w:rPr>
          <w:rFonts w:hint="eastAsia" w:hAnsi="宋体"/>
          <w:color w:val="auto"/>
        </w:rPr>
        <w:t xml:space="preserve"> 响应文件包括下列内容：</w:t>
      </w:r>
      <w:r>
        <w:rPr>
          <w:rFonts w:hint="eastAsia" w:ascii="宋体" w:hAnsi="宋体"/>
          <w:color w:val="auto"/>
          <w:szCs w:val="21"/>
        </w:rPr>
        <w:t xml:space="preserve"> </w:t>
      </w:r>
    </w:p>
    <w:p>
      <w:pPr>
        <w:pStyle w:val="11"/>
        <w:adjustRightInd w:val="0"/>
        <w:snapToGrid w:val="0"/>
        <w:spacing w:line="360" w:lineRule="auto"/>
        <w:ind w:firstLine="420" w:firstLineChars="200"/>
        <w:rPr>
          <w:rFonts w:hint="eastAsia" w:hAnsi="宋体"/>
          <w:color w:val="auto"/>
        </w:rPr>
      </w:pPr>
      <w:r>
        <w:rPr>
          <w:rFonts w:hint="eastAsia" w:hAnsi="宋体"/>
          <w:color w:val="auto"/>
        </w:rPr>
        <w:t>（1）磋商响应声明</w:t>
      </w:r>
    </w:p>
    <w:p>
      <w:pPr>
        <w:pStyle w:val="11"/>
        <w:adjustRightInd w:val="0"/>
        <w:snapToGrid w:val="0"/>
        <w:spacing w:line="360" w:lineRule="auto"/>
        <w:ind w:firstLine="420" w:firstLineChars="200"/>
        <w:rPr>
          <w:rFonts w:hint="eastAsia" w:hAnsi="宋体"/>
          <w:color w:val="auto"/>
        </w:rPr>
      </w:pPr>
      <w:r>
        <w:rPr>
          <w:rFonts w:hint="eastAsia" w:hAnsi="宋体"/>
          <w:color w:val="auto"/>
        </w:rPr>
        <w:t>（2）保证金</w:t>
      </w:r>
    </w:p>
    <w:p>
      <w:pPr>
        <w:pStyle w:val="11"/>
        <w:adjustRightInd w:val="0"/>
        <w:snapToGrid w:val="0"/>
        <w:spacing w:line="360" w:lineRule="auto"/>
        <w:ind w:firstLine="420" w:firstLineChars="200"/>
        <w:rPr>
          <w:rFonts w:hint="eastAsia" w:hAnsi="宋体"/>
          <w:color w:val="auto"/>
        </w:rPr>
      </w:pPr>
      <w:r>
        <w:rPr>
          <w:rFonts w:hint="eastAsia" w:hAnsi="宋体"/>
          <w:color w:val="auto"/>
        </w:rPr>
        <w:t>（3）供应商的资格证明资料</w:t>
      </w:r>
    </w:p>
    <w:p>
      <w:pPr>
        <w:pStyle w:val="11"/>
        <w:adjustRightInd w:val="0"/>
        <w:snapToGrid w:val="0"/>
        <w:spacing w:line="360" w:lineRule="auto"/>
        <w:ind w:firstLine="420" w:firstLineChars="200"/>
        <w:rPr>
          <w:rFonts w:hint="eastAsia" w:hAnsi="宋体"/>
          <w:color w:val="auto"/>
        </w:rPr>
      </w:pPr>
      <w:r>
        <w:rPr>
          <w:rFonts w:hint="eastAsia" w:hAnsi="宋体"/>
          <w:color w:val="auto"/>
        </w:rPr>
        <w:t>（4）</w:t>
      </w:r>
      <w:r>
        <w:rPr>
          <w:rFonts w:hint="eastAsia" w:hAnsi="宋体"/>
          <w:color w:val="auto"/>
          <w:lang w:eastAsia="zh-CN"/>
        </w:rPr>
        <w:t>货物</w:t>
      </w:r>
      <w:r>
        <w:rPr>
          <w:rFonts w:hint="eastAsia" w:hAnsi="宋体"/>
          <w:color w:val="auto"/>
        </w:rPr>
        <w:t>说明</w:t>
      </w:r>
    </w:p>
    <w:p>
      <w:pPr>
        <w:pStyle w:val="11"/>
        <w:adjustRightInd w:val="0"/>
        <w:snapToGrid w:val="0"/>
        <w:spacing w:line="360" w:lineRule="auto"/>
        <w:ind w:firstLine="420" w:firstLineChars="200"/>
        <w:rPr>
          <w:rFonts w:hint="eastAsia" w:hAnsi="宋体"/>
          <w:color w:val="auto"/>
        </w:rPr>
      </w:pPr>
      <w:r>
        <w:rPr>
          <w:rFonts w:hint="eastAsia" w:hAnsi="宋体"/>
          <w:color w:val="auto"/>
        </w:rPr>
        <w:t>（5）技术/商务响应与偏离表</w:t>
      </w:r>
    </w:p>
    <w:p>
      <w:pPr>
        <w:pStyle w:val="11"/>
        <w:adjustRightInd w:val="0"/>
        <w:snapToGrid w:val="0"/>
        <w:spacing w:line="360" w:lineRule="auto"/>
        <w:ind w:firstLine="420" w:firstLineChars="200"/>
        <w:rPr>
          <w:rFonts w:hint="eastAsia" w:hAnsi="宋体"/>
          <w:color w:val="auto"/>
        </w:rPr>
      </w:pPr>
      <w:r>
        <w:rPr>
          <w:rFonts w:hint="eastAsia" w:hAnsi="宋体"/>
          <w:color w:val="auto"/>
        </w:rPr>
        <w:t>（6）报价一览表及分项价格表</w:t>
      </w:r>
    </w:p>
    <w:p>
      <w:pPr>
        <w:pStyle w:val="11"/>
        <w:adjustRightInd w:val="0"/>
        <w:snapToGrid w:val="0"/>
        <w:spacing w:line="360" w:lineRule="auto"/>
        <w:ind w:firstLine="420" w:firstLineChars="200"/>
        <w:rPr>
          <w:rFonts w:hint="eastAsia" w:hAnsi="宋体"/>
          <w:color w:val="auto"/>
        </w:rPr>
      </w:pPr>
      <w:r>
        <w:rPr>
          <w:rFonts w:hint="eastAsia" w:hAnsi="宋体"/>
          <w:color w:val="auto"/>
        </w:rPr>
        <w:t>（7）供应商认为需提供的其他资料</w:t>
      </w:r>
    </w:p>
    <w:p>
      <w:pPr>
        <w:pStyle w:val="11"/>
        <w:adjustRightInd w:val="0"/>
        <w:snapToGrid w:val="0"/>
        <w:spacing w:line="360" w:lineRule="auto"/>
        <w:ind w:firstLine="420" w:firstLineChars="200"/>
        <w:rPr>
          <w:rFonts w:hint="eastAsia" w:hAnsi="宋体"/>
          <w:color w:val="auto"/>
        </w:rPr>
      </w:pPr>
      <w:r>
        <w:rPr>
          <w:rFonts w:hint="eastAsia" w:hAnsi="宋体"/>
          <w:color w:val="auto"/>
        </w:rPr>
        <w:t>（8）最后报价</w:t>
      </w:r>
    </w:p>
    <w:p>
      <w:pPr>
        <w:adjustRightInd w:val="0"/>
        <w:snapToGrid w:val="0"/>
        <w:spacing w:line="360" w:lineRule="auto"/>
        <w:ind w:firstLine="420" w:firstLineChars="200"/>
        <w:rPr>
          <w:rFonts w:hint="eastAsia" w:hAnsi="宋体"/>
          <w:color w:val="auto"/>
        </w:rPr>
      </w:pPr>
      <w:r>
        <w:rPr>
          <w:rFonts w:hint="eastAsia" w:ascii="宋体" w:hAnsi="宋体"/>
          <w:color w:val="auto"/>
        </w:rPr>
        <w:t>15.2在磋商过程中，</w:t>
      </w:r>
      <w:r>
        <w:rPr>
          <w:rFonts w:hint="eastAsia" w:ascii="宋体" w:hAnsi="宋体"/>
          <w:color w:val="auto"/>
          <w:szCs w:val="21"/>
        </w:rPr>
        <w:t>供应商</w:t>
      </w:r>
      <w:r>
        <w:rPr>
          <w:rFonts w:hint="eastAsia" w:ascii="宋体" w:hAnsi="宋体"/>
          <w:color w:val="auto"/>
        </w:rPr>
        <w:t>根据</w:t>
      </w:r>
      <w:r>
        <w:rPr>
          <w:rFonts w:hint="eastAsia" w:ascii="宋体" w:hAnsi="宋体" w:cs="宋体"/>
          <w:color w:val="auto"/>
          <w:kern w:val="0"/>
          <w:szCs w:val="21"/>
        </w:rPr>
        <w:t>磋商小组</w:t>
      </w:r>
      <w:r>
        <w:rPr>
          <w:rFonts w:hint="eastAsia" w:ascii="宋体" w:hAnsi="宋体"/>
          <w:bCs/>
          <w:color w:val="auto"/>
          <w:szCs w:val="21"/>
        </w:rPr>
        <w:t>书面形式要求</w:t>
      </w:r>
      <w:r>
        <w:rPr>
          <w:rFonts w:hint="eastAsia" w:ascii="宋体" w:hAnsi="宋体" w:cs="宋体"/>
          <w:color w:val="auto"/>
          <w:kern w:val="0"/>
          <w:szCs w:val="21"/>
        </w:rPr>
        <w:t>提交的</w:t>
      </w:r>
      <w:r>
        <w:rPr>
          <w:rFonts w:hint="eastAsia" w:hAnsi="宋体"/>
          <w:color w:val="auto"/>
        </w:rPr>
        <w:t>最后报价(或者</w:t>
      </w:r>
      <w:r>
        <w:rPr>
          <w:rFonts w:hint="eastAsia" w:ascii="宋体" w:hAnsi="宋体"/>
          <w:bCs/>
          <w:color w:val="auto"/>
          <w:szCs w:val="21"/>
        </w:rPr>
        <w:t>重</w:t>
      </w:r>
      <w:r>
        <w:rPr>
          <w:rFonts w:hint="eastAsia" w:ascii="宋体" w:hAnsi="宋体" w:cs="宋体"/>
          <w:color w:val="auto"/>
          <w:kern w:val="0"/>
          <w:szCs w:val="21"/>
        </w:rPr>
        <w:t>新提交的响应文件和</w:t>
      </w:r>
      <w:r>
        <w:rPr>
          <w:rFonts w:hint="eastAsia" w:hAnsi="宋体"/>
          <w:color w:val="auto"/>
        </w:rPr>
        <w:t>最后报价)是</w:t>
      </w:r>
      <w:r>
        <w:rPr>
          <w:rFonts w:hint="eastAsia" w:ascii="宋体" w:hAnsi="宋体"/>
          <w:color w:val="auto"/>
          <w:szCs w:val="21"/>
        </w:rPr>
        <w:t>响应文件</w:t>
      </w:r>
      <w:r>
        <w:rPr>
          <w:rFonts w:hint="eastAsia" w:hAnsi="宋体"/>
          <w:color w:val="auto"/>
        </w:rPr>
        <w:t>的有效组成部分。</w:t>
      </w:r>
    </w:p>
    <w:p>
      <w:pPr>
        <w:adjustRightInd w:val="0"/>
        <w:snapToGrid w:val="0"/>
        <w:spacing w:line="360" w:lineRule="auto"/>
        <w:ind w:firstLine="420" w:firstLineChars="200"/>
        <w:rPr>
          <w:rFonts w:hint="eastAsia" w:hAnsi="宋体"/>
          <w:b/>
          <w:color w:val="auto"/>
        </w:rPr>
      </w:pPr>
      <w:r>
        <w:rPr>
          <w:rFonts w:hint="eastAsia" w:ascii="宋体" w:hAnsi="宋体"/>
          <w:color w:val="auto"/>
        </w:rPr>
        <w:t>15.3</w:t>
      </w:r>
      <w:r>
        <w:rPr>
          <w:rFonts w:hint="eastAsia" w:ascii="宋体" w:hAnsi="宋体" w:cs="宋体"/>
          <w:color w:val="auto"/>
          <w:kern w:val="0"/>
          <w:szCs w:val="21"/>
        </w:rPr>
        <w:t>磋商文件规定可能发生实质性变动的，供应商应当在</w:t>
      </w:r>
      <w:r>
        <w:rPr>
          <w:rFonts w:hint="eastAsia" w:hAnsi="宋体"/>
          <w:color w:val="auto"/>
        </w:rPr>
        <w:t>《技术/商务响应与偏离表》中对应内容注明。</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rPr>
        <w:t>15.4</w:t>
      </w:r>
      <w:r>
        <w:rPr>
          <w:rFonts w:hint="eastAsia" w:ascii="宋体" w:hAnsi="宋体"/>
          <w:color w:val="auto"/>
          <w:szCs w:val="21"/>
        </w:rPr>
        <w:t>供应商无论成交与否，其响应文件不予退还。</w:t>
      </w:r>
    </w:p>
    <w:p>
      <w:pPr>
        <w:adjustRightInd w:val="0"/>
        <w:snapToGrid w:val="0"/>
        <w:spacing w:line="360" w:lineRule="auto"/>
        <w:rPr>
          <w:rFonts w:hint="eastAsia" w:ascii="宋体" w:hAnsi="宋体"/>
          <w:b/>
          <w:bCs/>
          <w:color w:val="auto"/>
          <w:szCs w:val="21"/>
        </w:rPr>
      </w:pPr>
      <w:r>
        <w:rPr>
          <w:rFonts w:hint="eastAsia" w:ascii="宋体" w:hAnsi="宋体"/>
          <w:b/>
          <w:bCs/>
          <w:color w:val="auto"/>
          <w:szCs w:val="21"/>
        </w:rPr>
        <w:t>16.报价</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16.1供应商应当根据磋商文件要求和范围，以</w:t>
      </w:r>
      <w:r>
        <w:rPr>
          <w:rFonts w:hint="eastAsia" w:ascii="宋体" w:hAnsi="宋体"/>
          <w:bCs/>
          <w:color w:val="auto"/>
          <w:szCs w:val="21"/>
        </w:rPr>
        <w:t>人民币</w:t>
      </w:r>
      <w:r>
        <w:rPr>
          <w:rFonts w:hint="eastAsia" w:ascii="宋体" w:hAnsi="宋体"/>
          <w:color w:val="auto"/>
          <w:szCs w:val="21"/>
        </w:rPr>
        <w:t>报价，以元为单位，保留小数点后两位。</w:t>
      </w:r>
    </w:p>
    <w:p>
      <w:pPr>
        <w:pStyle w:val="27"/>
        <w:adjustRightInd w:val="0"/>
        <w:snapToGrid w:val="0"/>
        <w:spacing w:line="360" w:lineRule="auto"/>
        <w:ind w:firstLine="420" w:firstLineChars="200"/>
        <w:rPr>
          <w:rFonts w:hint="eastAsia" w:ascii="宋体" w:hAnsi="宋体"/>
          <w:color w:val="auto"/>
        </w:rPr>
      </w:pPr>
      <w:r>
        <w:rPr>
          <w:rFonts w:hint="eastAsia" w:ascii="宋体" w:hAnsi="宋体"/>
          <w:color w:val="auto"/>
        </w:rPr>
        <w:t>16.2供应商应按第五章 响应文件组成格式填写。</w:t>
      </w:r>
    </w:p>
    <w:p>
      <w:pPr>
        <w:pStyle w:val="11"/>
        <w:adjustRightInd w:val="0"/>
        <w:snapToGrid w:val="0"/>
        <w:spacing w:line="360" w:lineRule="auto"/>
        <w:ind w:firstLine="420" w:firstLineChars="200"/>
        <w:rPr>
          <w:rFonts w:hint="eastAsia" w:hAnsi="宋体"/>
          <w:color w:val="auto"/>
        </w:rPr>
      </w:pPr>
      <w:r>
        <w:rPr>
          <w:rFonts w:hint="eastAsia" w:hAnsi="宋体"/>
          <w:color w:val="auto"/>
        </w:rPr>
        <w:t>16.3响应文件中标明的价格在合同执行过程中是固定不变的，不得以任何理由予以变更。以可变动价格提交的报价将被认为是非实质响应而被拒绝。</w:t>
      </w:r>
    </w:p>
    <w:p>
      <w:pPr>
        <w:pStyle w:val="11"/>
        <w:adjustRightInd w:val="0"/>
        <w:snapToGrid w:val="0"/>
        <w:spacing w:line="360" w:lineRule="auto"/>
        <w:ind w:firstLine="420" w:firstLineChars="200"/>
        <w:rPr>
          <w:rFonts w:hint="eastAsia" w:hAnsi="宋体"/>
          <w:color w:val="auto"/>
        </w:rPr>
      </w:pPr>
      <w:r>
        <w:rPr>
          <w:rFonts w:hint="eastAsia" w:hAnsi="宋体"/>
          <w:color w:val="auto"/>
        </w:rPr>
        <w:t>16.4</w:t>
      </w:r>
      <w:r>
        <w:rPr>
          <w:rFonts w:hint="eastAsia" w:hAnsi="宋体" w:cs="宋体"/>
          <w:color w:val="auto"/>
          <w:kern w:val="0"/>
          <w:lang w:val="zh-CN"/>
        </w:rPr>
        <w:t>供应商</w:t>
      </w:r>
      <w:r>
        <w:rPr>
          <w:rFonts w:hint="eastAsia" w:hAnsi="宋体"/>
          <w:color w:val="auto"/>
        </w:rPr>
        <w:t>的报价不得超过采购项目预算，采购项目预算或其计算方法见</w:t>
      </w:r>
      <w:r>
        <w:rPr>
          <w:rFonts w:hint="eastAsia" w:hAnsi="宋体"/>
          <w:b/>
          <w:color w:val="auto"/>
        </w:rPr>
        <w:t>磋商须知前附表</w:t>
      </w:r>
      <w:r>
        <w:rPr>
          <w:rFonts w:hint="eastAsia" w:hAnsi="宋体"/>
          <w:color w:val="auto"/>
        </w:rPr>
        <w:t>。</w:t>
      </w:r>
    </w:p>
    <w:p>
      <w:pPr>
        <w:pStyle w:val="11"/>
        <w:adjustRightInd w:val="0"/>
        <w:snapToGrid w:val="0"/>
        <w:spacing w:line="360" w:lineRule="auto"/>
        <w:rPr>
          <w:rFonts w:hint="eastAsia"/>
          <w:b/>
          <w:color w:val="auto"/>
        </w:rPr>
      </w:pPr>
      <w:r>
        <w:rPr>
          <w:rFonts w:hint="eastAsia"/>
          <w:b/>
          <w:color w:val="auto"/>
        </w:rPr>
        <w:t>17.供应商符合磋商文件规定的证明文件</w:t>
      </w:r>
    </w:p>
    <w:p>
      <w:pPr>
        <w:adjustRightInd w:val="0"/>
        <w:snapToGrid w:val="0"/>
        <w:spacing w:line="360" w:lineRule="auto"/>
        <w:ind w:firstLine="420" w:firstLineChars="200"/>
        <w:jc w:val="left"/>
        <w:rPr>
          <w:rFonts w:hint="eastAsia" w:ascii="宋体" w:hAnsi="宋体"/>
          <w:color w:val="auto"/>
        </w:rPr>
      </w:pPr>
      <w:r>
        <w:rPr>
          <w:rFonts w:hint="eastAsia" w:ascii="宋体" w:hAnsi="宋体"/>
          <w:color w:val="auto"/>
        </w:rPr>
        <w:t>17.1供应商应提交满足本章第3.1款规定的资格条件要求的证明文件,该证明文件作为响应文件的一部分。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hint="eastAsia" w:ascii="宋体" w:hAnsi="宋体"/>
          <w:color w:val="auto"/>
        </w:rPr>
      </w:pPr>
      <w:r>
        <w:rPr>
          <w:rFonts w:hint="eastAsia" w:ascii="宋体" w:hAnsi="宋体"/>
          <w:color w:val="auto"/>
        </w:rPr>
        <w:t>17.2如果供应商为联合体，则应提交联合体各方资格证明文件、联合体协议。否则，在评审时将其视为无效响应。</w:t>
      </w:r>
    </w:p>
    <w:p>
      <w:pPr>
        <w:adjustRightInd w:val="0"/>
        <w:snapToGrid w:val="0"/>
        <w:spacing w:beforeLines="50" w:line="360" w:lineRule="auto"/>
        <w:ind w:firstLine="420" w:firstLineChars="200"/>
        <w:jc w:val="left"/>
        <w:rPr>
          <w:rFonts w:hint="eastAsia" w:ascii="宋体" w:hAnsi="宋体"/>
          <w:color w:val="auto"/>
          <w:szCs w:val="21"/>
        </w:rPr>
      </w:pPr>
      <w:r>
        <w:rPr>
          <w:rFonts w:hint="eastAsia" w:ascii="宋体" w:hAnsi="宋体"/>
          <w:color w:val="auto"/>
          <w:szCs w:val="21"/>
        </w:rPr>
        <w:t>17.3 除</w:t>
      </w:r>
      <w:r>
        <w:rPr>
          <w:rFonts w:hint="eastAsia" w:ascii="宋体" w:hAnsi="宋体"/>
          <w:b/>
          <w:color w:val="auto"/>
          <w:szCs w:val="21"/>
        </w:rPr>
        <w:t>磋商须知前附表</w:t>
      </w:r>
      <w:r>
        <w:rPr>
          <w:rFonts w:hint="eastAsia" w:ascii="宋体" w:hAnsi="宋体"/>
          <w:color w:val="auto"/>
          <w:szCs w:val="21"/>
        </w:rPr>
        <w:t>另有规定外，供应商提供的货物及服务不是供应商制造或拥有的，则必须提供经销、或代理采购货物、或采购货物提供售后服务的证明文件。</w:t>
      </w:r>
    </w:p>
    <w:p>
      <w:pPr>
        <w:adjustRightInd w:val="0"/>
        <w:snapToGrid w:val="0"/>
        <w:spacing w:beforeLines="50" w:line="360" w:lineRule="auto"/>
        <w:jc w:val="left"/>
        <w:rPr>
          <w:rFonts w:hint="eastAsia" w:ascii="宋体" w:hAnsi="宋体"/>
          <w:b/>
          <w:color w:val="auto"/>
          <w:szCs w:val="21"/>
        </w:rPr>
      </w:pPr>
      <w:r>
        <w:rPr>
          <w:rFonts w:hint="eastAsia" w:ascii="宋体" w:hAnsi="宋体"/>
          <w:b/>
          <w:color w:val="auto"/>
          <w:szCs w:val="21"/>
        </w:rPr>
        <w:t>18．样品提供</w:t>
      </w:r>
    </w:p>
    <w:p>
      <w:pPr>
        <w:adjustRightInd w:val="0"/>
        <w:snapToGrid w:val="0"/>
        <w:spacing w:beforeLines="50" w:line="360" w:lineRule="auto"/>
        <w:ind w:firstLine="420" w:firstLineChars="200"/>
        <w:jc w:val="left"/>
        <w:rPr>
          <w:rFonts w:hint="eastAsia" w:ascii="宋体" w:hAnsi="宋体"/>
          <w:color w:val="auto"/>
          <w:szCs w:val="21"/>
        </w:rPr>
      </w:pPr>
      <w:r>
        <w:rPr>
          <w:rFonts w:hint="eastAsia" w:ascii="宋体" w:hAnsi="宋体"/>
          <w:color w:val="auto"/>
          <w:szCs w:val="21"/>
        </w:rPr>
        <w:t xml:space="preserve">18.1 </w:t>
      </w:r>
      <w:r>
        <w:rPr>
          <w:rFonts w:hint="eastAsia" w:ascii="宋体" w:hAnsi="宋体"/>
          <w:b/>
          <w:color w:val="auto"/>
        </w:rPr>
        <w:t>磋商</w:t>
      </w:r>
      <w:r>
        <w:rPr>
          <w:rFonts w:hint="eastAsia" w:ascii="宋体" w:hAnsi="宋体"/>
          <w:b/>
          <w:color w:val="auto"/>
        </w:rPr>
        <w:t>须知前附表</w:t>
      </w:r>
      <w:r>
        <w:rPr>
          <w:rFonts w:hint="eastAsia" w:ascii="宋体" w:hAnsi="宋体"/>
          <w:color w:val="auto"/>
          <w:szCs w:val="21"/>
        </w:rPr>
        <w:t>规定</w:t>
      </w:r>
      <w:r>
        <w:rPr>
          <w:rFonts w:hint="eastAsia" w:ascii="宋体" w:hAnsi="宋体"/>
          <w:bCs/>
          <w:color w:val="auto"/>
        </w:rPr>
        <w:t>供应商</w:t>
      </w:r>
      <w:r>
        <w:rPr>
          <w:rFonts w:hint="eastAsia" w:ascii="宋体" w:hAnsi="宋体"/>
          <w:color w:val="auto"/>
          <w:szCs w:val="21"/>
        </w:rPr>
        <w:t>在</w:t>
      </w:r>
      <w:r>
        <w:rPr>
          <w:rFonts w:hint="eastAsia" w:ascii="宋体" w:hAnsi="宋体"/>
          <w:color w:val="auto"/>
        </w:rPr>
        <w:t>磋商</w:t>
      </w:r>
      <w:r>
        <w:rPr>
          <w:rFonts w:hint="eastAsia" w:ascii="宋体" w:hAnsi="宋体"/>
          <w:color w:val="auto"/>
          <w:szCs w:val="21"/>
        </w:rPr>
        <w:t>时提供样品的，</w:t>
      </w:r>
      <w:r>
        <w:rPr>
          <w:rFonts w:hint="eastAsia" w:ascii="宋体" w:hAnsi="宋体"/>
          <w:bCs/>
          <w:color w:val="auto"/>
        </w:rPr>
        <w:t>供应商</w:t>
      </w:r>
      <w:r>
        <w:rPr>
          <w:rFonts w:ascii="宋体" w:hAnsi="宋体"/>
          <w:color w:val="auto"/>
          <w:szCs w:val="21"/>
        </w:rPr>
        <w:t>有以下情形之一的</w:t>
      </w:r>
      <w:r>
        <w:rPr>
          <w:rFonts w:hint="eastAsia" w:ascii="宋体" w:hAnsi="宋体"/>
          <w:color w:val="auto"/>
          <w:szCs w:val="21"/>
        </w:rPr>
        <w:t>，在评审时将其视为无效响应。</w:t>
      </w:r>
    </w:p>
    <w:p>
      <w:pPr>
        <w:adjustRightInd w:val="0"/>
        <w:snapToGrid w:val="0"/>
        <w:spacing w:beforeLines="50" w:line="360" w:lineRule="auto"/>
        <w:ind w:firstLine="420" w:firstLineChars="200"/>
        <w:jc w:val="left"/>
        <w:rPr>
          <w:rFonts w:hint="eastAsia" w:ascii="宋体" w:hAnsi="宋体"/>
          <w:color w:val="auto"/>
          <w:szCs w:val="21"/>
        </w:rPr>
      </w:pPr>
      <w:r>
        <w:rPr>
          <w:rFonts w:hint="eastAsia" w:ascii="宋体" w:hAnsi="宋体"/>
          <w:color w:val="auto"/>
          <w:szCs w:val="21"/>
        </w:rPr>
        <w:t>（1）未在</w:t>
      </w:r>
      <w:r>
        <w:rPr>
          <w:rFonts w:hint="eastAsia" w:ascii="宋体" w:hAnsi="宋体"/>
          <w:b/>
          <w:color w:val="auto"/>
        </w:rPr>
        <w:t>磋商</w:t>
      </w:r>
      <w:r>
        <w:rPr>
          <w:rFonts w:hint="eastAsia" w:ascii="宋体" w:hAnsi="宋体"/>
          <w:b/>
          <w:color w:val="auto"/>
        </w:rPr>
        <w:t>须知前附表</w:t>
      </w:r>
      <w:r>
        <w:rPr>
          <w:rFonts w:hint="eastAsia" w:ascii="宋体" w:hAnsi="宋体"/>
          <w:color w:val="auto"/>
          <w:szCs w:val="21"/>
        </w:rPr>
        <w:t>规定的提交时间、地点提交</w:t>
      </w:r>
      <w:r>
        <w:rPr>
          <w:rFonts w:ascii="宋体" w:hAnsi="宋体"/>
          <w:color w:val="auto"/>
          <w:szCs w:val="21"/>
        </w:rPr>
        <w:t>的</w:t>
      </w:r>
      <w:r>
        <w:rPr>
          <w:rFonts w:hint="eastAsia" w:ascii="宋体" w:hAnsi="宋体"/>
          <w:color w:val="auto"/>
          <w:szCs w:val="21"/>
        </w:rPr>
        <w:t>；</w:t>
      </w:r>
    </w:p>
    <w:p>
      <w:pPr>
        <w:adjustRightInd w:val="0"/>
        <w:snapToGrid w:val="0"/>
        <w:spacing w:beforeLines="50" w:line="360" w:lineRule="auto"/>
        <w:ind w:firstLine="420" w:firstLineChars="200"/>
        <w:jc w:val="left"/>
        <w:rPr>
          <w:rFonts w:hint="eastAsia" w:ascii="宋体" w:hAnsi="宋体"/>
          <w:color w:val="auto"/>
          <w:szCs w:val="21"/>
        </w:rPr>
      </w:pPr>
      <w:r>
        <w:rPr>
          <w:rFonts w:hint="eastAsia" w:ascii="宋体" w:hAnsi="宋体"/>
          <w:color w:val="auto"/>
          <w:szCs w:val="21"/>
        </w:rPr>
        <w:t>（2）</w:t>
      </w:r>
      <w:r>
        <w:rPr>
          <w:rFonts w:hint="eastAsia" w:ascii="宋体" w:hAnsi="宋体"/>
          <w:bCs/>
          <w:color w:val="auto"/>
        </w:rPr>
        <w:t>供应商</w:t>
      </w:r>
      <w:r>
        <w:rPr>
          <w:rFonts w:hint="eastAsia" w:ascii="宋体" w:hAnsi="宋体"/>
          <w:color w:val="auto"/>
          <w:szCs w:val="21"/>
        </w:rPr>
        <w:t>提供的样品与磋商文件中要求提供样品的型号、规格不一致</w:t>
      </w:r>
      <w:r>
        <w:rPr>
          <w:rFonts w:ascii="宋体" w:hAnsi="宋体"/>
          <w:color w:val="auto"/>
          <w:szCs w:val="21"/>
        </w:rPr>
        <w:t>的</w:t>
      </w:r>
      <w:r>
        <w:rPr>
          <w:rFonts w:hint="eastAsia" w:ascii="宋体" w:hAnsi="宋体"/>
          <w:color w:val="auto"/>
          <w:szCs w:val="21"/>
        </w:rPr>
        <w:t>。</w:t>
      </w:r>
    </w:p>
    <w:p>
      <w:pPr>
        <w:adjustRightInd w:val="0"/>
        <w:snapToGrid w:val="0"/>
        <w:spacing w:line="360" w:lineRule="auto"/>
        <w:rPr>
          <w:rFonts w:hint="eastAsia" w:ascii="宋体" w:hAnsi="宋体"/>
          <w:b/>
          <w:bCs/>
          <w:color w:val="auto"/>
          <w:szCs w:val="21"/>
        </w:rPr>
      </w:pPr>
      <w:r>
        <w:rPr>
          <w:rFonts w:hint="eastAsia" w:ascii="宋体" w:hAnsi="宋体"/>
          <w:b/>
          <w:bCs/>
          <w:color w:val="auto"/>
          <w:szCs w:val="21"/>
        </w:rPr>
        <w:t>19.</w:t>
      </w:r>
      <w:r>
        <w:rPr>
          <w:rFonts w:hint="eastAsia"/>
          <w:color w:val="auto"/>
        </w:rPr>
        <w:t xml:space="preserve"> </w:t>
      </w:r>
      <w:r>
        <w:rPr>
          <w:rFonts w:hint="eastAsia" w:ascii="宋体" w:hAnsi="宋体"/>
          <w:b/>
          <w:bCs/>
          <w:color w:val="auto"/>
          <w:szCs w:val="21"/>
        </w:rPr>
        <w:t>磋商保证金</w:t>
      </w:r>
    </w:p>
    <w:p>
      <w:pPr>
        <w:pStyle w:val="11"/>
        <w:adjustRightInd w:val="0"/>
        <w:snapToGrid w:val="0"/>
        <w:spacing w:line="360" w:lineRule="auto"/>
        <w:ind w:firstLine="420" w:firstLineChars="200"/>
        <w:rPr>
          <w:rFonts w:hint="eastAsia" w:hAnsi="宋体"/>
          <w:bCs/>
          <w:color w:val="auto"/>
        </w:rPr>
      </w:pPr>
      <w:r>
        <w:rPr>
          <w:rFonts w:hint="eastAsia" w:hAnsi="宋体"/>
          <w:color w:val="auto"/>
        </w:rPr>
        <w:t>19.1</w:t>
      </w:r>
      <w:r>
        <w:rPr>
          <w:rFonts w:hint="eastAsia" w:hAnsi="宋体"/>
          <w:b/>
          <w:color w:val="auto"/>
        </w:rPr>
        <w:t>磋商须知前附表</w:t>
      </w:r>
      <w:r>
        <w:rPr>
          <w:rFonts w:hint="eastAsia" w:hAnsi="宋体"/>
          <w:color w:val="auto"/>
        </w:rPr>
        <w:t>规定交纳磋商</w:t>
      </w:r>
      <w:r>
        <w:rPr>
          <w:rFonts w:hint="eastAsia" w:hAnsi="宋体"/>
          <w:bCs/>
          <w:color w:val="auto"/>
        </w:rPr>
        <w:t>保证金的</w:t>
      </w:r>
      <w:r>
        <w:rPr>
          <w:rFonts w:hint="eastAsia" w:hAnsi="宋体"/>
          <w:color w:val="auto"/>
        </w:rPr>
        <w:t>，应按</w:t>
      </w:r>
      <w:r>
        <w:rPr>
          <w:rFonts w:hint="eastAsia" w:hAnsi="宋体"/>
          <w:b/>
          <w:color w:val="auto"/>
        </w:rPr>
        <w:t>磋商须知前附表</w:t>
      </w:r>
      <w:r>
        <w:rPr>
          <w:rFonts w:hint="eastAsia" w:hAnsi="宋体"/>
          <w:color w:val="auto"/>
        </w:rPr>
        <w:t>规定的磋商</w:t>
      </w:r>
      <w:r>
        <w:rPr>
          <w:rFonts w:hint="eastAsia" w:hAnsi="宋体"/>
          <w:bCs/>
          <w:color w:val="auto"/>
        </w:rPr>
        <w:t>保证金形式交纳，不得以现金方式交纳</w:t>
      </w:r>
      <w:r>
        <w:rPr>
          <w:rFonts w:hint="eastAsia" w:hAnsi="宋体"/>
          <w:color w:val="auto"/>
        </w:rPr>
        <w:t>，在</w:t>
      </w:r>
      <w:r>
        <w:rPr>
          <w:rFonts w:hint="eastAsia" w:hAnsi="宋体" w:cs="宋体"/>
          <w:color w:val="auto"/>
          <w:kern w:val="0"/>
        </w:rPr>
        <w:t>提交首次响应文件截止时间</w:t>
      </w:r>
      <w:r>
        <w:rPr>
          <w:rFonts w:hint="eastAsia" w:hAnsi="宋体"/>
          <w:color w:val="auto"/>
        </w:rPr>
        <w:t>前，</w:t>
      </w:r>
      <w:r>
        <w:rPr>
          <w:rFonts w:hint="eastAsia" w:hAnsi="宋体"/>
          <w:bCs/>
          <w:color w:val="auto"/>
        </w:rPr>
        <w:t>向采购代理机构交纳不超过</w:t>
      </w:r>
      <w:r>
        <w:rPr>
          <w:rFonts w:hint="eastAsia" w:hAnsi="宋体" w:cs="宋体"/>
          <w:color w:val="auto"/>
          <w:kern w:val="0"/>
          <w:lang w:val="zh-CN"/>
        </w:rPr>
        <w:t>采购项目预算2﹪</w:t>
      </w:r>
      <w:r>
        <w:rPr>
          <w:rFonts w:hint="eastAsia" w:hAnsi="宋体"/>
          <w:bCs/>
          <w:color w:val="auto"/>
        </w:rPr>
        <w:t>的磋商保证金(数额采用四舍五入，计算至元)</w:t>
      </w:r>
      <w:r>
        <w:rPr>
          <w:rFonts w:hint="eastAsia" w:hAnsi="宋体"/>
          <w:color w:val="auto"/>
        </w:rPr>
        <w:t>。磋商</w:t>
      </w:r>
      <w:r>
        <w:rPr>
          <w:rFonts w:hint="eastAsia" w:hAnsi="宋体"/>
          <w:bCs/>
          <w:color w:val="auto"/>
        </w:rPr>
        <w:t>保证金有效期应当与</w:t>
      </w:r>
      <w:r>
        <w:rPr>
          <w:rFonts w:hint="eastAsia" w:hAnsi="宋体"/>
          <w:color w:val="auto"/>
        </w:rPr>
        <w:t>本章第20.1</w:t>
      </w:r>
      <w:r>
        <w:rPr>
          <w:rFonts w:hint="eastAsia" w:hAnsi="宋体" w:cs="宋体"/>
          <w:color w:val="auto"/>
          <w:kern w:val="0"/>
          <w:lang w:val="zh-CN"/>
        </w:rPr>
        <w:t>款</w:t>
      </w:r>
      <w:r>
        <w:rPr>
          <w:rFonts w:hint="eastAsia" w:hAnsi="宋体"/>
          <w:color w:val="auto"/>
        </w:rPr>
        <w:t>规定的</w:t>
      </w:r>
      <w:r>
        <w:rPr>
          <w:rFonts w:hint="eastAsia" w:hAnsi="宋体"/>
          <w:bCs/>
          <w:color w:val="auto"/>
        </w:rPr>
        <w:t>响应文件有效期一致。</w:t>
      </w:r>
    </w:p>
    <w:p>
      <w:pPr>
        <w:adjustRightInd w:val="0"/>
        <w:snapToGrid w:val="0"/>
        <w:spacing w:line="360" w:lineRule="auto"/>
        <w:ind w:firstLine="420" w:firstLineChars="200"/>
        <w:rPr>
          <w:rFonts w:hint="eastAsia" w:ascii="宋体" w:hAnsi="宋体"/>
          <w:b/>
          <w:color w:val="auto"/>
          <w:szCs w:val="21"/>
        </w:rPr>
      </w:pPr>
      <w:r>
        <w:rPr>
          <w:rFonts w:hint="eastAsia" w:ascii="宋体" w:hAnsi="宋体"/>
          <w:color w:val="auto"/>
          <w:szCs w:val="21"/>
        </w:rPr>
        <w:t>19.2</w:t>
      </w:r>
      <w:r>
        <w:rPr>
          <w:rFonts w:hint="eastAsia" w:ascii="宋体" w:hAnsi="宋体" w:cs="宋体"/>
          <w:color w:val="auto"/>
          <w:kern w:val="0"/>
          <w:szCs w:val="21"/>
          <w:lang w:val="zh-CN"/>
        </w:rPr>
        <w:t>供应商为联合体的，可以由联合体中的一方或者共同交纳磋商保证金，其交纳的磋商保证金，对联合体各方均具有约束力。</w:t>
      </w:r>
    </w:p>
    <w:p>
      <w:pPr>
        <w:pStyle w:val="11"/>
        <w:adjustRightInd w:val="0"/>
        <w:snapToGrid w:val="0"/>
        <w:spacing w:line="360" w:lineRule="auto"/>
        <w:ind w:firstLine="420" w:firstLineChars="200"/>
        <w:rPr>
          <w:rFonts w:hint="eastAsia" w:hAnsi="宋体"/>
          <w:color w:val="auto"/>
        </w:rPr>
      </w:pPr>
      <w:r>
        <w:rPr>
          <w:rFonts w:hint="eastAsia" w:hAnsi="宋体"/>
          <w:color w:val="auto"/>
        </w:rPr>
        <w:t>19.3供应商未按照磋商文件要求提交磋商保证金的，响应无效。</w:t>
      </w:r>
    </w:p>
    <w:p>
      <w:pPr>
        <w:pStyle w:val="11"/>
        <w:tabs>
          <w:tab w:val="left" w:pos="6300"/>
        </w:tabs>
        <w:adjustRightInd w:val="0"/>
        <w:snapToGrid w:val="0"/>
        <w:spacing w:line="360" w:lineRule="auto"/>
        <w:ind w:firstLine="420" w:firstLineChars="200"/>
        <w:rPr>
          <w:rFonts w:hint="eastAsia" w:hAnsi="宋体"/>
          <w:color w:val="auto"/>
        </w:rPr>
      </w:pPr>
      <w:r>
        <w:rPr>
          <w:rFonts w:hint="eastAsia" w:hAnsi="宋体"/>
          <w:color w:val="auto"/>
        </w:rPr>
        <w:t>19.4采购代理机构在成交通知书发出后5个工作日内退还未成交供应商的磋商保证金；在采购合同签定后5个工作日内退还成交供应商的磋商保证金，但因供应商自身原因导致无法及时退还的除外。</w:t>
      </w:r>
    </w:p>
    <w:p>
      <w:pPr>
        <w:adjustRightInd w:val="0"/>
        <w:snapToGrid w:val="0"/>
        <w:spacing w:line="360" w:lineRule="auto"/>
        <w:rPr>
          <w:rFonts w:hint="eastAsia" w:ascii="宋体" w:hAnsi="宋体"/>
          <w:b/>
          <w:bCs/>
          <w:color w:val="auto"/>
          <w:szCs w:val="21"/>
        </w:rPr>
      </w:pPr>
      <w:r>
        <w:rPr>
          <w:rFonts w:hint="eastAsia" w:ascii="宋体" w:hAnsi="宋体"/>
          <w:b/>
          <w:bCs/>
          <w:color w:val="auto"/>
          <w:szCs w:val="21"/>
        </w:rPr>
        <w:t>20.</w:t>
      </w:r>
      <w:r>
        <w:rPr>
          <w:rFonts w:hint="eastAsia" w:ascii="宋体" w:hAnsi="宋体"/>
          <w:color w:val="auto"/>
          <w:szCs w:val="21"/>
        </w:rPr>
        <w:t xml:space="preserve"> </w:t>
      </w:r>
      <w:r>
        <w:rPr>
          <w:rFonts w:hint="eastAsia" w:hAnsi="宋体"/>
          <w:b/>
          <w:color w:val="auto"/>
        </w:rPr>
        <w:t>响应文件</w:t>
      </w:r>
      <w:r>
        <w:rPr>
          <w:rFonts w:hint="eastAsia" w:ascii="宋体" w:hAnsi="宋体"/>
          <w:b/>
          <w:color w:val="auto"/>
          <w:szCs w:val="21"/>
        </w:rPr>
        <w:t>有效期</w:t>
      </w:r>
    </w:p>
    <w:p>
      <w:pPr>
        <w:adjustRightInd w:val="0"/>
        <w:snapToGrid w:val="0"/>
        <w:spacing w:line="360" w:lineRule="auto"/>
        <w:ind w:firstLine="420" w:firstLineChars="200"/>
        <w:jc w:val="left"/>
        <w:rPr>
          <w:rFonts w:hint="eastAsia" w:hAnsi="宋体"/>
          <w:color w:val="auto"/>
        </w:rPr>
      </w:pPr>
      <w:r>
        <w:rPr>
          <w:rFonts w:hint="eastAsia" w:ascii="宋体" w:hAnsi="宋体"/>
          <w:color w:val="auto"/>
        </w:rPr>
        <w:t>20.1响应文件</w:t>
      </w:r>
      <w:r>
        <w:rPr>
          <w:rFonts w:hint="eastAsia" w:ascii="宋体" w:hAnsi="宋体"/>
          <w:color w:val="auto"/>
          <w:szCs w:val="21"/>
        </w:rPr>
        <w:t>有效期见</w:t>
      </w:r>
      <w:r>
        <w:rPr>
          <w:rFonts w:hint="eastAsia" w:ascii="宋体" w:hAnsi="宋体"/>
          <w:b/>
          <w:color w:val="auto"/>
        </w:rPr>
        <w:t>磋商须知前附表</w:t>
      </w:r>
      <w:r>
        <w:rPr>
          <w:rFonts w:hint="eastAsia" w:ascii="宋体" w:hAnsi="宋体"/>
          <w:color w:val="auto"/>
          <w:szCs w:val="21"/>
        </w:rPr>
        <w:t>，在此期间</w:t>
      </w:r>
      <w:r>
        <w:rPr>
          <w:rFonts w:hint="eastAsia" w:ascii="宋体" w:hAnsi="宋体"/>
          <w:color w:val="auto"/>
        </w:rPr>
        <w:t>响应</w:t>
      </w:r>
      <w:r>
        <w:rPr>
          <w:rFonts w:hint="eastAsia" w:ascii="宋体" w:hAnsi="宋体"/>
          <w:color w:val="auto"/>
          <w:szCs w:val="21"/>
        </w:rPr>
        <w:t>文件对供应商具有法律约束力，</w:t>
      </w:r>
      <w:r>
        <w:rPr>
          <w:rFonts w:hint="eastAsia" w:ascii="宋体" w:hAnsi="宋体" w:cs="Arial"/>
          <w:color w:val="auto"/>
        </w:rPr>
        <w:t>从</w:t>
      </w:r>
      <w:r>
        <w:rPr>
          <w:rFonts w:hint="eastAsia" w:ascii="宋体" w:hAnsi="宋体" w:cs="宋体"/>
          <w:color w:val="auto"/>
          <w:kern w:val="0"/>
          <w:szCs w:val="21"/>
        </w:rPr>
        <w:t>提交首次响应文件截止时间</w:t>
      </w:r>
      <w:r>
        <w:rPr>
          <w:rFonts w:hint="eastAsia" w:hAnsi="宋体"/>
          <w:color w:val="auto"/>
        </w:rPr>
        <w:t>之日</w:t>
      </w:r>
      <w:r>
        <w:rPr>
          <w:rFonts w:hint="eastAsia" w:hAnsi="宋体" w:cs="Arial"/>
          <w:color w:val="auto"/>
        </w:rPr>
        <w:t>起计算。</w:t>
      </w:r>
      <w:r>
        <w:rPr>
          <w:rFonts w:hint="eastAsia" w:hAnsi="宋体"/>
          <w:color w:val="auto"/>
        </w:rPr>
        <w:t>响应文件有效期不足的将被视为无效响应。</w:t>
      </w:r>
    </w:p>
    <w:p>
      <w:pPr>
        <w:adjustRightInd w:val="0"/>
        <w:snapToGrid w:val="0"/>
        <w:spacing w:line="360" w:lineRule="auto"/>
        <w:rPr>
          <w:rFonts w:hint="eastAsia" w:ascii="宋体" w:hAnsi="宋体"/>
          <w:b/>
          <w:bCs/>
          <w:color w:val="auto"/>
          <w:szCs w:val="21"/>
        </w:rPr>
      </w:pPr>
      <w:r>
        <w:rPr>
          <w:rFonts w:hint="eastAsia" w:ascii="宋体" w:hAnsi="宋体"/>
          <w:b/>
          <w:bCs/>
          <w:color w:val="auto"/>
          <w:szCs w:val="21"/>
        </w:rPr>
        <w:t>21.响应文件的签署及规定</w:t>
      </w:r>
    </w:p>
    <w:p>
      <w:pPr>
        <w:pStyle w:val="11"/>
        <w:adjustRightInd w:val="0"/>
        <w:snapToGrid w:val="0"/>
        <w:spacing w:line="360" w:lineRule="auto"/>
        <w:ind w:firstLine="420" w:firstLineChars="200"/>
        <w:rPr>
          <w:rFonts w:hint="eastAsia" w:hAnsi="宋体"/>
          <w:color w:val="auto"/>
        </w:rPr>
      </w:pPr>
      <w:r>
        <w:rPr>
          <w:rFonts w:hint="eastAsia" w:hAnsi="宋体"/>
          <w:color w:val="auto"/>
        </w:rPr>
        <w:t>21.1响应文件的正本和副本应装订成册，正本一份，副本份数见</w:t>
      </w:r>
      <w:r>
        <w:rPr>
          <w:rFonts w:hint="eastAsia" w:hAnsi="宋体"/>
          <w:b/>
          <w:color w:val="auto"/>
        </w:rPr>
        <w:t>磋商须知前附表，</w:t>
      </w:r>
      <w:r>
        <w:rPr>
          <w:rFonts w:hint="eastAsia" w:hAnsi="宋体"/>
          <w:bCs/>
          <w:color w:val="auto"/>
        </w:rPr>
        <w:t>电子文档一份（需U盘PDF格式存档，单独密封包装）</w:t>
      </w:r>
      <w:r>
        <w:rPr>
          <w:rFonts w:hint="eastAsia" w:hAnsi="宋体"/>
          <w:color w:val="auto"/>
        </w:rPr>
        <w:t>。正本和副本的封面上应标记“正本”或“副本”的字样，当正本和副本有差异时，以正本为准。</w:t>
      </w:r>
    </w:p>
    <w:p>
      <w:pPr>
        <w:pStyle w:val="11"/>
        <w:adjustRightInd w:val="0"/>
        <w:snapToGrid w:val="0"/>
        <w:spacing w:line="360" w:lineRule="auto"/>
        <w:ind w:firstLine="420" w:firstLineChars="200"/>
        <w:rPr>
          <w:rFonts w:hint="eastAsia" w:hAnsi="宋体"/>
          <w:color w:val="auto"/>
        </w:rPr>
      </w:pPr>
      <w:r>
        <w:rPr>
          <w:rFonts w:hint="eastAsia" w:hAnsi="宋体"/>
          <w:color w:val="auto"/>
        </w:rPr>
        <w:t>21.2 响应文件正本和副本应按磋商文件要求签章处盖单位章和由法定代表人或其委托代理人签字；任何加行、涂改、增删，应有法定代表人或其委托代理人在旁边签字。否则，将导致响应文件无效。</w:t>
      </w:r>
    </w:p>
    <w:p>
      <w:pPr>
        <w:pStyle w:val="11"/>
        <w:adjustRightInd w:val="0"/>
        <w:snapToGrid w:val="0"/>
        <w:spacing w:line="360" w:lineRule="auto"/>
        <w:ind w:firstLine="420" w:firstLineChars="200"/>
        <w:rPr>
          <w:rFonts w:hint="eastAsia" w:hAnsi="宋体"/>
          <w:color w:val="auto"/>
        </w:rPr>
      </w:pPr>
      <w:r>
        <w:rPr>
          <w:rFonts w:hint="eastAsia" w:hAnsi="宋体"/>
          <w:color w:val="auto"/>
        </w:rPr>
        <w:t>21.3 在磋商过程中，供应商按磋商文件规定和磋商小组要求</w:t>
      </w:r>
      <w:r>
        <w:rPr>
          <w:rFonts w:hint="eastAsia" w:hAnsi="宋体" w:cs="宋体"/>
          <w:color w:val="auto"/>
          <w:kern w:val="0"/>
        </w:rPr>
        <w:t>提交的</w:t>
      </w:r>
      <w:r>
        <w:rPr>
          <w:rFonts w:hint="eastAsia" w:hAnsi="宋体"/>
          <w:color w:val="auto"/>
        </w:rPr>
        <w:t>最后报价(或者</w:t>
      </w:r>
      <w:r>
        <w:rPr>
          <w:rFonts w:hint="eastAsia" w:hAnsi="宋体"/>
          <w:bCs/>
          <w:color w:val="auto"/>
        </w:rPr>
        <w:t>重</w:t>
      </w:r>
      <w:r>
        <w:rPr>
          <w:rFonts w:hint="eastAsia" w:hAnsi="宋体" w:cs="宋体"/>
          <w:color w:val="auto"/>
          <w:kern w:val="0"/>
        </w:rPr>
        <w:t>新提交的响应文件和</w:t>
      </w:r>
      <w:r>
        <w:rPr>
          <w:rFonts w:hint="eastAsia" w:hAnsi="宋体"/>
          <w:color w:val="auto"/>
        </w:rPr>
        <w:t>最后报价)，一式两份，可打印或用不退色墨水书写，但需经法定代表人或其委托代理人签字，</w:t>
      </w:r>
      <w:r>
        <w:rPr>
          <w:rFonts w:hint="eastAsia" w:hAnsi="宋体" w:cs="宋体"/>
          <w:color w:val="auto"/>
          <w:kern w:val="0"/>
        </w:rPr>
        <w:t>或者加盖供应商单位章</w:t>
      </w:r>
      <w:r>
        <w:rPr>
          <w:rFonts w:hint="eastAsia" w:hAnsi="宋体"/>
          <w:color w:val="auto"/>
        </w:rPr>
        <w:t>。否则，将导致响应文件无效。</w:t>
      </w:r>
    </w:p>
    <w:p>
      <w:pPr>
        <w:adjustRightInd w:val="0"/>
        <w:snapToGrid w:val="0"/>
        <w:spacing w:line="360" w:lineRule="auto"/>
        <w:rPr>
          <w:rFonts w:hint="eastAsia" w:ascii="黑体" w:hAnsi="宋体" w:eastAsia="黑体"/>
          <w:color w:val="auto"/>
          <w:sz w:val="24"/>
        </w:rPr>
      </w:pPr>
      <w:r>
        <w:rPr>
          <w:rFonts w:hint="eastAsia" w:ascii="黑体" w:hAnsi="宋体" w:eastAsia="黑体"/>
          <w:color w:val="auto"/>
          <w:sz w:val="24"/>
        </w:rPr>
        <w:t>四、响应文件的递交</w:t>
      </w:r>
    </w:p>
    <w:p>
      <w:pPr>
        <w:adjustRightInd w:val="0"/>
        <w:snapToGrid w:val="0"/>
        <w:spacing w:line="360" w:lineRule="auto"/>
        <w:rPr>
          <w:rFonts w:hint="eastAsia" w:ascii="宋体" w:hAnsi="宋体"/>
          <w:b/>
          <w:bCs/>
          <w:color w:val="auto"/>
          <w:szCs w:val="21"/>
        </w:rPr>
      </w:pPr>
      <w:r>
        <w:rPr>
          <w:rFonts w:hint="eastAsia" w:ascii="宋体" w:hAnsi="宋体"/>
          <w:b/>
          <w:bCs/>
          <w:color w:val="auto"/>
          <w:szCs w:val="21"/>
        </w:rPr>
        <w:t>22.</w:t>
      </w:r>
      <w:r>
        <w:rPr>
          <w:rFonts w:hint="eastAsia" w:ascii="宋体" w:hAnsi="宋体"/>
          <w:b/>
          <w:color w:val="auto"/>
          <w:szCs w:val="21"/>
        </w:rPr>
        <w:t>响应文件</w:t>
      </w:r>
      <w:r>
        <w:rPr>
          <w:rFonts w:hint="eastAsia" w:ascii="宋体" w:hAnsi="宋体"/>
          <w:b/>
          <w:bCs/>
          <w:color w:val="auto"/>
          <w:szCs w:val="21"/>
        </w:rPr>
        <w:t>的密封和标记</w:t>
      </w:r>
    </w:p>
    <w:p>
      <w:pPr>
        <w:pStyle w:val="11"/>
        <w:adjustRightInd w:val="0"/>
        <w:snapToGrid w:val="0"/>
        <w:spacing w:line="360" w:lineRule="auto"/>
        <w:ind w:firstLine="420" w:firstLineChars="200"/>
        <w:rPr>
          <w:rFonts w:hint="eastAsia" w:hAnsi="宋体"/>
          <w:color w:val="auto"/>
        </w:rPr>
      </w:pPr>
      <w:r>
        <w:rPr>
          <w:rFonts w:hint="eastAsia" w:hAnsi="宋体"/>
          <w:color w:val="auto"/>
        </w:rPr>
        <w:t>22.1响应文件应密封包装，加贴封条，并在封套的封口处盖供应商单位章或者由法定代表人或其委托代理人签字。</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22.2响应文件封套上应写明的内容见</w:t>
      </w:r>
      <w:r>
        <w:rPr>
          <w:rFonts w:hint="eastAsia" w:ascii="宋体" w:hAnsi="宋体"/>
          <w:b/>
          <w:color w:val="auto"/>
          <w:szCs w:val="21"/>
        </w:rPr>
        <w:t>磋商须知前附表。</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22.3响应文件如果未按上述规定密封和加写标记，采购人或采购代理机构将拒绝接收。</w:t>
      </w:r>
    </w:p>
    <w:p>
      <w:pPr>
        <w:adjustRightInd w:val="0"/>
        <w:snapToGrid w:val="0"/>
        <w:spacing w:line="360" w:lineRule="auto"/>
        <w:rPr>
          <w:rFonts w:hint="eastAsia" w:ascii="宋体" w:hAnsi="宋体"/>
          <w:b/>
          <w:bCs/>
          <w:color w:val="auto"/>
          <w:szCs w:val="21"/>
        </w:rPr>
      </w:pPr>
      <w:r>
        <w:rPr>
          <w:rFonts w:hint="eastAsia" w:ascii="宋体" w:hAnsi="宋体"/>
          <w:b/>
          <w:bCs/>
          <w:color w:val="auto"/>
          <w:szCs w:val="21"/>
        </w:rPr>
        <w:t>23.响应文件的</w:t>
      </w:r>
      <w:r>
        <w:rPr>
          <w:rFonts w:hint="eastAsia" w:ascii="宋体" w:hAnsi="宋体" w:cs="宋体"/>
          <w:b/>
          <w:color w:val="auto"/>
          <w:kern w:val="0"/>
          <w:szCs w:val="21"/>
          <w:lang w:val="zh-CN"/>
        </w:rPr>
        <w:t>补充、修改或者撤回</w:t>
      </w:r>
    </w:p>
    <w:p>
      <w:pPr>
        <w:pStyle w:val="11"/>
        <w:adjustRightInd w:val="0"/>
        <w:snapToGrid w:val="0"/>
        <w:spacing w:line="360" w:lineRule="auto"/>
        <w:ind w:firstLine="420" w:firstLineChars="200"/>
        <w:rPr>
          <w:rFonts w:hint="eastAsia" w:hAnsi="宋体"/>
          <w:color w:val="auto"/>
        </w:rPr>
      </w:pPr>
      <w:r>
        <w:rPr>
          <w:rFonts w:hint="eastAsia" w:hAnsi="宋体"/>
          <w:color w:val="auto"/>
        </w:rPr>
        <w:t>23.1</w:t>
      </w:r>
      <w:r>
        <w:rPr>
          <w:rFonts w:hint="eastAsia" w:hAnsi="宋体" w:cs="宋体"/>
          <w:color w:val="auto"/>
          <w:kern w:val="0"/>
        </w:rPr>
        <w:t>供应商在提交首次响应文件截止时间前，可以对所提交的首次响应文件进行补充、修改或者撤回，并书面通知采购人、采购代理机构。</w:t>
      </w:r>
      <w:r>
        <w:rPr>
          <w:rFonts w:hint="eastAsia" w:hAnsi="宋体"/>
          <w:color w:val="auto"/>
        </w:rPr>
        <w:t>该通知应有供应商法定代表人或其委托代理人签字。</w:t>
      </w:r>
    </w:p>
    <w:p>
      <w:pPr>
        <w:pStyle w:val="11"/>
        <w:adjustRightInd w:val="0"/>
        <w:snapToGrid w:val="0"/>
        <w:spacing w:line="360" w:lineRule="auto"/>
        <w:ind w:firstLine="420" w:firstLineChars="200"/>
        <w:rPr>
          <w:rFonts w:hint="eastAsia" w:hAnsi="宋体"/>
          <w:color w:val="auto"/>
        </w:rPr>
      </w:pPr>
      <w:r>
        <w:rPr>
          <w:rFonts w:hint="eastAsia" w:hAnsi="宋体"/>
          <w:color w:val="auto"/>
        </w:rPr>
        <w:t>23.2</w:t>
      </w:r>
      <w:r>
        <w:rPr>
          <w:rFonts w:hint="eastAsia" w:hAnsi="宋体" w:cs="宋体"/>
          <w:color w:val="auto"/>
          <w:kern w:val="0"/>
          <w:lang w:val="zh-CN"/>
        </w:rPr>
        <w:t>补充、修改的内容与响应文件不一致时，以补充、修改的内容为准。</w:t>
      </w:r>
    </w:p>
    <w:p>
      <w:pPr>
        <w:adjustRightInd w:val="0"/>
        <w:snapToGrid w:val="0"/>
        <w:spacing w:line="360" w:lineRule="auto"/>
        <w:rPr>
          <w:rFonts w:hint="eastAsia" w:ascii="宋体" w:hAnsi="宋体"/>
          <w:b/>
          <w:bCs/>
          <w:color w:val="auto"/>
          <w:szCs w:val="21"/>
        </w:rPr>
      </w:pPr>
      <w:r>
        <w:rPr>
          <w:rFonts w:hint="eastAsia" w:ascii="宋体" w:hAnsi="宋体"/>
          <w:b/>
          <w:bCs/>
          <w:color w:val="auto"/>
          <w:szCs w:val="21"/>
        </w:rPr>
        <w:t>24.响应文件的递交与接收</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24.1 供应商应在</w:t>
      </w:r>
      <w:r>
        <w:rPr>
          <w:rFonts w:hint="eastAsia" w:ascii="宋体" w:hAnsi="宋体" w:cs="宋体"/>
          <w:color w:val="auto"/>
          <w:kern w:val="0"/>
          <w:szCs w:val="21"/>
        </w:rPr>
        <w:t>提交首次响应文件截止时间</w:t>
      </w:r>
      <w:r>
        <w:rPr>
          <w:rFonts w:hint="eastAsia" w:ascii="宋体" w:hAnsi="宋体"/>
          <w:color w:val="auto"/>
          <w:szCs w:val="21"/>
        </w:rPr>
        <w:t>前，将响应文件送</w:t>
      </w:r>
      <w:r>
        <w:rPr>
          <w:rFonts w:hint="eastAsia" w:ascii="宋体" w:hAnsi="宋体" w:cs="Arial"/>
          <w:color w:val="auto"/>
          <w:szCs w:val="21"/>
        </w:rPr>
        <w:t>达</w:t>
      </w:r>
      <w:r>
        <w:rPr>
          <w:rFonts w:hint="eastAsia" w:ascii="宋体" w:hAnsi="宋体"/>
          <w:b/>
          <w:color w:val="auto"/>
          <w:szCs w:val="21"/>
        </w:rPr>
        <w:t>磋商须知前附表</w:t>
      </w:r>
      <w:r>
        <w:rPr>
          <w:rFonts w:hint="eastAsia" w:ascii="宋体" w:hAnsi="宋体"/>
          <w:color w:val="auto"/>
          <w:szCs w:val="21"/>
        </w:rPr>
        <w:t>中指定的地点。</w:t>
      </w:r>
      <w:r>
        <w:rPr>
          <w:rFonts w:hint="eastAsia" w:hAnsi="宋体" w:cs="宋体"/>
          <w:color w:val="auto"/>
          <w:kern w:val="0"/>
        </w:rPr>
        <w:t>在截止时间后送达的响应文件，采购人、采购代理机构或者磋商小组应当拒收。</w:t>
      </w:r>
    </w:p>
    <w:p>
      <w:pPr>
        <w:pStyle w:val="11"/>
        <w:adjustRightInd w:val="0"/>
        <w:snapToGrid w:val="0"/>
        <w:spacing w:line="360" w:lineRule="auto"/>
        <w:ind w:firstLine="420" w:firstLineChars="200"/>
        <w:rPr>
          <w:rFonts w:hint="eastAsia" w:hAnsi="宋体"/>
          <w:color w:val="auto"/>
        </w:rPr>
      </w:pPr>
      <w:r>
        <w:rPr>
          <w:rFonts w:hint="eastAsia" w:hAnsi="宋体"/>
          <w:color w:val="auto"/>
        </w:rPr>
        <w:t>24.2</w:t>
      </w:r>
      <w:r>
        <w:rPr>
          <w:rFonts w:hint="eastAsia" w:hAnsi="宋体" w:cs="宋体"/>
          <w:color w:val="auto"/>
          <w:kern w:val="0"/>
        </w:rPr>
        <w:t>在提交首次响应文件截止时间后，</w:t>
      </w:r>
      <w:r>
        <w:rPr>
          <w:rFonts w:hint="eastAsia" w:hAnsi="宋体"/>
          <w:color w:val="auto"/>
        </w:rPr>
        <w:t>由</w:t>
      </w:r>
      <w:r>
        <w:rPr>
          <w:rFonts w:hint="eastAsia" w:hAnsi="宋体"/>
          <w:bCs/>
          <w:color w:val="auto"/>
        </w:rPr>
        <w:t>供应商代表</w:t>
      </w:r>
      <w:r>
        <w:rPr>
          <w:rFonts w:hint="eastAsia" w:hAnsi="宋体"/>
          <w:color w:val="auto"/>
        </w:rPr>
        <w:t>当场查验</w:t>
      </w:r>
      <w:r>
        <w:rPr>
          <w:rFonts w:hint="eastAsia" w:hAnsi="宋体"/>
          <w:bCs/>
          <w:color w:val="auto"/>
        </w:rPr>
        <w:t>响应文件</w:t>
      </w:r>
      <w:r>
        <w:rPr>
          <w:rFonts w:hint="eastAsia" w:hAnsi="宋体"/>
          <w:color w:val="auto"/>
        </w:rPr>
        <w:t>的密封状况，采购人或</w:t>
      </w:r>
      <w:r>
        <w:rPr>
          <w:rFonts w:hint="eastAsia" w:hAnsi="宋体"/>
          <w:bCs/>
          <w:color w:val="auto"/>
        </w:rPr>
        <w:t>采购代理机构</w:t>
      </w:r>
      <w:r>
        <w:rPr>
          <w:rFonts w:hint="eastAsia" w:hAnsi="宋体"/>
          <w:color w:val="auto"/>
        </w:rPr>
        <w:t>不当场拆封</w:t>
      </w:r>
      <w:r>
        <w:rPr>
          <w:rFonts w:hint="eastAsia" w:hAnsi="宋体"/>
          <w:bCs/>
          <w:color w:val="auto"/>
        </w:rPr>
        <w:t>响应文件</w:t>
      </w:r>
      <w:r>
        <w:rPr>
          <w:rFonts w:hint="eastAsia" w:hAnsi="宋体"/>
          <w:color w:val="auto"/>
        </w:rPr>
        <w:t>。</w:t>
      </w:r>
    </w:p>
    <w:p>
      <w:pPr>
        <w:adjustRightInd w:val="0"/>
        <w:snapToGrid w:val="0"/>
        <w:spacing w:line="360" w:lineRule="auto"/>
        <w:rPr>
          <w:rFonts w:hint="eastAsia" w:ascii="黑体" w:hAnsi="宋体" w:eastAsia="黑体"/>
          <w:color w:val="auto"/>
          <w:sz w:val="24"/>
        </w:rPr>
      </w:pPr>
      <w:r>
        <w:rPr>
          <w:rFonts w:hint="eastAsia" w:ascii="黑体" w:hAnsi="宋体" w:eastAsia="黑体"/>
          <w:color w:val="auto"/>
          <w:sz w:val="24"/>
        </w:rPr>
        <w:t>五、响应文件的磋商与评审</w:t>
      </w:r>
    </w:p>
    <w:p>
      <w:pPr>
        <w:tabs>
          <w:tab w:val="left" w:pos="0"/>
        </w:tabs>
        <w:adjustRightInd w:val="0"/>
        <w:snapToGrid w:val="0"/>
        <w:spacing w:line="360" w:lineRule="auto"/>
        <w:rPr>
          <w:rFonts w:hint="eastAsia" w:ascii="宋体" w:hAnsi="宋体"/>
          <w:b/>
          <w:bCs/>
          <w:color w:val="auto"/>
          <w:szCs w:val="21"/>
        </w:rPr>
      </w:pPr>
      <w:r>
        <w:rPr>
          <w:rFonts w:hint="eastAsia" w:ascii="宋体" w:hAnsi="宋体"/>
          <w:b/>
          <w:bCs/>
          <w:color w:val="auto"/>
          <w:szCs w:val="21"/>
        </w:rPr>
        <w:t>25.磋商程序</w:t>
      </w:r>
    </w:p>
    <w:p>
      <w:pPr>
        <w:widowControl/>
        <w:adjustRightInd w:val="0"/>
        <w:snapToGrid w:val="0"/>
        <w:spacing w:line="360" w:lineRule="auto"/>
        <w:ind w:firstLine="420"/>
        <w:jc w:val="left"/>
        <w:rPr>
          <w:rFonts w:hint="eastAsia" w:ascii="宋体" w:hAnsi="宋体"/>
          <w:bCs/>
          <w:color w:val="auto"/>
          <w:szCs w:val="21"/>
        </w:rPr>
      </w:pPr>
      <w:r>
        <w:rPr>
          <w:rFonts w:hint="eastAsia" w:ascii="宋体" w:hAnsi="宋体" w:cs="宋体"/>
          <w:color w:val="auto"/>
          <w:kern w:val="0"/>
          <w:szCs w:val="21"/>
        </w:rPr>
        <w:t>25.1磋商程序：响应文件审查、磋商（包括澄清）、响应文件评审、</w:t>
      </w:r>
      <w:r>
        <w:rPr>
          <w:rFonts w:hint="eastAsia" w:ascii="宋体" w:hAnsi="宋体"/>
          <w:bCs/>
          <w:color w:val="auto"/>
          <w:szCs w:val="21"/>
        </w:rPr>
        <w:t>提出成交供应商。其中，</w:t>
      </w:r>
      <w:r>
        <w:rPr>
          <w:rFonts w:hint="eastAsia" w:ascii="宋体" w:hAnsi="宋体" w:cs="宋体"/>
          <w:color w:val="auto"/>
          <w:kern w:val="0"/>
          <w:szCs w:val="21"/>
        </w:rPr>
        <w:t>磋商按</w:t>
      </w:r>
      <w:r>
        <w:rPr>
          <w:rFonts w:hint="eastAsia" w:ascii="宋体" w:hAnsi="宋体"/>
          <w:color w:val="auto"/>
          <w:szCs w:val="21"/>
        </w:rPr>
        <w:t>本章</w:t>
      </w:r>
      <w:r>
        <w:rPr>
          <w:rFonts w:hint="eastAsia" w:hAnsi="宋体"/>
          <w:color w:val="auto"/>
        </w:rPr>
        <w:t>第</w:t>
      </w:r>
      <w:r>
        <w:rPr>
          <w:rFonts w:hint="eastAsia" w:ascii="宋体" w:hAnsi="宋体"/>
          <w:color w:val="auto"/>
        </w:rPr>
        <w:t>30.1</w:t>
      </w:r>
      <w:r>
        <w:rPr>
          <w:rFonts w:hint="eastAsia" w:ascii="宋体" w:hAnsi="宋体" w:cs="宋体"/>
          <w:color w:val="auto"/>
          <w:kern w:val="0"/>
          <w:szCs w:val="21"/>
          <w:lang w:val="zh-CN"/>
        </w:rPr>
        <w:t>款或者</w:t>
      </w:r>
      <w:r>
        <w:rPr>
          <w:rFonts w:hint="eastAsia" w:ascii="宋体" w:hAnsi="宋体"/>
          <w:color w:val="auto"/>
        </w:rPr>
        <w:t>第30.2</w:t>
      </w:r>
      <w:r>
        <w:rPr>
          <w:rFonts w:hint="eastAsia" w:ascii="宋体" w:hAnsi="宋体" w:cs="宋体"/>
          <w:color w:val="auto"/>
          <w:kern w:val="0"/>
          <w:szCs w:val="21"/>
          <w:lang w:val="zh-CN"/>
        </w:rPr>
        <w:t>款</w:t>
      </w:r>
      <w:r>
        <w:rPr>
          <w:rFonts w:hint="eastAsia" w:hAnsi="宋体"/>
          <w:color w:val="auto"/>
        </w:rPr>
        <w:t>情形</w:t>
      </w:r>
      <w:r>
        <w:rPr>
          <w:rFonts w:hint="eastAsia" w:ascii="宋体" w:hAnsi="宋体"/>
          <w:bCs/>
          <w:color w:val="auto"/>
          <w:szCs w:val="21"/>
        </w:rPr>
        <w:t>进行。</w:t>
      </w:r>
    </w:p>
    <w:p>
      <w:pPr>
        <w:widowControl/>
        <w:adjustRightInd w:val="0"/>
        <w:snapToGrid w:val="0"/>
        <w:spacing w:line="360" w:lineRule="auto"/>
        <w:rPr>
          <w:rFonts w:hint="eastAsia" w:ascii="宋体" w:hAnsi="宋体"/>
          <w:b/>
          <w:color w:val="auto"/>
          <w:szCs w:val="21"/>
        </w:rPr>
      </w:pPr>
      <w:r>
        <w:rPr>
          <w:rFonts w:hint="eastAsia" w:ascii="宋体" w:hAnsi="宋体" w:cs="宋体"/>
          <w:b/>
          <w:color w:val="auto"/>
          <w:kern w:val="0"/>
          <w:szCs w:val="21"/>
        </w:rPr>
        <w:t>26.</w:t>
      </w:r>
      <w:r>
        <w:rPr>
          <w:rFonts w:hint="eastAsia"/>
          <w:color w:val="auto"/>
        </w:rPr>
        <w:t xml:space="preserve"> </w:t>
      </w:r>
      <w:r>
        <w:rPr>
          <w:rFonts w:hint="eastAsia" w:ascii="宋体" w:hAnsi="宋体" w:cs="宋体"/>
          <w:b/>
          <w:color w:val="auto"/>
          <w:kern w:val="0"/>
          <w:szCs w:val="21"/>
        </w:rPr>
        <w:t>响应文件审查</w:t>
      </w:r>
      <w:r>
        <w:rPr>
          <w:rFonts w:hint="eastAsia" w:ascii="宋体" w:hAnsi="宋体"/>
          <w:b/>
          <w:color w:val="auto"/>
          <w:szCs w:val="21"/>
        </w:rPr>
        <w:t xml:space="preserve"> </w:t>
      </w:r>
    </w:p>
    <w:p>
      <w:pPr>
        <w:adjustRightInd w:val="0"/>
        <w:snapToGrid w:val="0"/>
        <w:spacing w:beforeLines="50" w:line="360" w:lineRule="auto"/>
        <w:ind w:firstLine="420" w:firstLineChars="200"/>
        <w:rPr>
          <w:rFonts w:hint="eastAsia" w:ascii="宋体" w:hAnsi="宋体"/>
          <w:color w:val="auto"/>
          <w:szCs w:val="21"/>
        </w:rPr>
      </w:pPr>
      <w:r>
        <w:rPr>
          <w:rFonts w:hint="eastAsia" w:ascii="宋体" w:hAnsi="宋体"/>
          <w:color w:val="auto"/>
          <w:szCs w:val="21"/>
        </w:rPr>
        <w:t>26.1 资格性审查：根据本章第3.1项规定的供应商资格条件要求，对</w:t>
      </w:r>
      <w:r>
        <w:rPr>
          <w:rFonts w:hint="eastAsia" w:ascii="宋体" w:hAnsi="宋体"/>
          <w:color w:val="auto"/>
        </w:rPr>
        <w:t>响应</w:t>
      </w:r>
      <w:r>
        <w:rPr>
          <w:rFonts w:hint="eastAsia" w:ascii="宋体" w:hAnsi="宋体"/>
          <w:color w:val="auto"/>
          <w:szCs w:val="21"/>
        </w:rPr>
        <w:t>文件的资格证明等进行审查，以确定供应商是否具备磋商资格条件。</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26.2符合性审查: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26.3响应文件审查结束后，磋商小组所有成员集中与单一供应商分别进行磋商，并给予所有参加磋商的供应商平等的磋商机会。供应商应派其法定代表人或委托代理人参加磋商。</w:t>
      </w:r>
    </w:p>
    <w:p>
      <w:pPr>
        <w:pStyle w:val="11"/>
        <w:adjustRightInd w:val="0"/>
        <w:snapToGrid w:val="0"/>
        <w:spacing w:line="360" w:lineRule="auto"/>
        <w:rPr>
          <w:rFonts w:hint="eastAsia" w:hAnsi="宋体" w:cs="宋体"/>
          <w:b/>
          <w:color w:val="auto"/>
          <w:kern w:val="0"/>
        </w:rPr>
      </w:pPr>
      <w:r>
        <w:rPr>
          <w:rFonts w:hint="eastAsia" w:hAnsi="宋体" w:cs="宋体"/>
          <w:b/>
          <w:color w:val="auto"/>
          <w:kern w:val="0"/>
        </w:rPr>
        <w:t>27.实质性响应</w:t>
      </w:r>
    </w:p>
    <w:p>
      <w:pPr>
        <w:pStyle w:val="11"/>
        <w:adjustRightInd w:val="0"/>
        <w:snapToGrid w:val="0"/>
        <w:spacing w:line="360" w:lineRule="auto"/>
        <w:ind w:firstLine="420" w:firstLineChars="200"/>
        <w:rPr>
          <w:rFonts w:hint="eastAsia" w:hAnsi="宋体" w:cs="Arial"/>
          <w:color w:val="auto"/>
          <w:kern w:val="0"/>
          <w:u w:val="single"/>
        </w:rPr>
      </w:pPr>
      <w:r>
        <w:rPr>
          <w:rFonts w:hint="eastAsia" w:hAnsi="宋体" w:cs="宋体"/>
          <w:color w:val="auto"/>
          <w:kern w:val="0"/>
        </w:rPr>
        <w:t>27.1</w:t>
      </w:r>
      <w:r>
        <w:rPr>
          <w:rFonts w:hint="eastAsia" w:hAnsi="宋体"/>
          <w:color w:val="auto"/>
        </w:rPr>
        <w:t>实质性响应是指响应文件(包括首次响应文件、重新提交的响应文件)与磋商文件要求的所有条款、条件和规格相符，没有偏离。偏离</w:t>
      </w:r>
      <w:r>
        <w:rPr>
          <w:rFonts w:hint="eastAsia"/>
          <w:color w:val="auto"/>
        </w:rPr>
        <w:t>指不满足、或不响应</w:t>
      </w:r>
      <w:r>
        <w:rPr>
          <w:rFonts w:hint="eastAsia" w:hAnsi="宋体"/>
          <w:color w:val="auto"/>
        </w:rPr>
        <w:t>磋商文件</w:t>
      </w:r>
      <w:r>
        <w:rPr>
          <w:rFonts w:hint="eastAsia"/>
          <w:color w:val="auto"/>
        </w:rPr>
        <w:t>的要求。</w:t>
      </w:r>
    </w:p>
    <w:p>
      <w:pPr>
        <w:tabs>
          <w:tab w:val="left" w:pos="0"/>
          <w:tab w:val="left" w:pos="7560"/>
          <w:tab w:val="left" w:pos="7740"/>
          <w:tab w:val="left" w:pos="7920"/>
        </w:tabs>
        <w:adjustRightInd w:val="0"/>
        <w:snapToGrid w:val="0"/>
        <w:spacing w:line="360" w:lineRule="auto"/>
        <w:ind w:right="23" w:rightChars="11" w:firstLine="420" w:firstLineChars="200"/>
        <w:rPr>
          <w:rFonts w:hint="eastAsia" w:ascii="宋体" w:hAnsi="宋体"/>
          <w:color w:val="auto"/>
          <w:szCs w:val="21"/>
        </w:rPr>
      </w:pPr>
      <w:r>
        <w:rPr>
          <w:rFonts w:hint="eastAsia" w:ascii="宋体" w:hAnsi="宋体"/>
          <w:color w:val="auto"/>
          <w:szCs w:val="21"/>
        </w:rPr>
        <w:t>27.2</w:t>
      </w:r>
      <w:r>
        <w:rPr>
          <w:rFonts w:hint="eastAsia" w:ascii="宋体" w:hAnsi="宋体"/>
          <w:color w:val="auto"/>
        </w:rPr>
        <w:t>响应文件是否实质性响应磋商文件要求由磋商小组依据磋商文件规定认定。</w:t>
      </w:r>
      <w:r>
        <w:rPr>
          <w:rFonts w:hint="eastAsia" w:ascii="宋体" w:hAnsi="宋体" w:cs="宋体"/>
          <w:color w:val="auto"/>
          <w:kern w:val="0"/>
          <w:szCs w:val="21"/>
        </w:rPr>
        <w:t>磋商小组</w:t>
      </w:r>
      <w:r>
        <w:rPr>
          <w:rFonts w:hint="eastAsia" w:ascii="宋体" w:hAnsi="宋体"/>
          <w:color w:val="auto"/>
          <w:szCs w:val="21"/>
        </w:rPr>
        <w:t>决定</w:t>
      </w:r>
      <w:r>
        <w:rPr>
          <w:rFonts w:hint="eastAsia" w:ascii="宋体" w:hAnsi="宋体"/>
          <w:color w:val="auto"/>
        </w:rPr>
        <w:t>响应文件</w:t>
      </w:r>
      <w:r>
        <w:rPr>
          <w:rFonts w:hint="eastAsia" w:ascii="宋体" w:hAnsi="宋体"/>
          <w:color w:val="auto"/>
          <w:szCs w:val="21"/>
        </w:rPr>
        <w:t>的响应性只根据</w:t>
      </w:r>
      <w:r>
        <w:rPr>
          <w:rFonts w:hint="eastAsia" w:ascii="宋体" w:hAnsi="宋体"/>
          <w:color w:val="auto"/>
        </w:rPr>
        <w:t>响应文件</w:t>
      </w:r>
      <w:r>
        <w:rPr>
          <w:rFonts w:hint="eastAsia" w:ascii="宋体" w:hAnsi="宋体"/>
          <w:color w:val="auto"/>
          <w:szCs w:val="21"/>
        </w:rPr>
        <w:t>本身的真实无误的内容，而不依据外部的证据。</w:t>
      </w:r>
    </w:p>
    <w:p>
      <w:pPr>
        <w:pStyle w:val="11"/>
        <w:adjustRightInd w:val="0"/>
        <w:snapToGrid w:val="0"/>
        <w:spacing w:line="360" w:lineRule="auto"/>
        <w:rPr>
          <w:rFonts w:hint="eastAsia" w:cs="宋体"/>
          <w:b/>
          <w:color w:val="auto"/>
          <w:kern w:val="0"/>
        </w:rPr>
      </w:pPr>
      <w:r>
        <w:rPr>
          <w:rFonts w:hint="eastAsia" w:cs="宋体"/>
          <w:b/>
          <w:color w:val="auto"/>
          <w:kern w:val="0"/>
        </w:rPr>
        <w:t xml:space="preserve">28.无效响应 </w:t>
      </w:r>
    </w:p>
    <w:p>
      <w:pPr>
        <w:pStyle w:val="11"/>
        <w:adjustRightInd w:val="0"/>
        <w:snapToGrid w:val="0"/>
        <w:spacing w:line="360" w:lineRule="auto"/>
        <w:ind w:firstLine="411" w:firstLineChars="196"/>
        <w:rPr>
          <w:rFonts w:hint="eastAsia" w:hAnsi="宋体" w:cs="宋体"/>
          <w:b/>
          <w:color w:val="auto"/>
          <w:kern w:val="0"/>
        </w:rPr>
      </w:pPr>
      <w:r>
        <w:rPr>
          <w:rFonts w:hint="eastAsia" w:cs="宋体"/>
          <w:color w:val="auto"/>
          <w:kern w:val="0"/>
        </w:rPr>
        <w:t>28.1</w:t>
      </w:r>
      <w:r>
        <w:rPr>
          <w:rFonts w:hint="eastAsia"/>
          <w:color w:val="auto"/>
        </w:rPr>
        <w:t>磋商小组在对资格性和符合性进行审查时，有下列情况之一的，属无效响应，</w:t>
      </w:r>
      <w:r>
        <w:rPr>
          <w:rFonts w:hint="eastAsia" w:cs="宋体"/>
          <w:color w:val="auto"/>
          <w:kern w:val="0"/>
        </w:rPr>
        <w:t>磋商小组应当告知有关供应商</w:t>
      </w:r>
      <w:r>
        <w:rPr>
          <w:rFonts w:hint="eastAsia"/>
          <w:color w:val="auto"/>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（1）供应商不具备本章第3.1款规定的供应商资格条件要求，或存在本章第3.3款情形的；</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（2）联合体不符合本章第3.2款规定的；</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（3）应交未交磋商保证金或金额不足、磋商保证金缴纳形式不符合磋商文件要求的；</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（4）响应文件未按照磋商文件要求签署、盖章的；</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（4）响应文件不满足本章第27.1款规定的实质性要求的；</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（5）报价超过采购项目预算的；</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（6）响应文件有效期不足的；</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（7）响应文件不符合法律、规章、规范性文件和磋商文件规定及要求的。</w:t>
      </w:r>
    </w:p>
    <w:p>
      <w:pPr>
        <w:widowControl/>
        <w:adjustRightInd w:val="0"/>
        <w:snapToGrid w:val="0"/>
        <w:spacing w:line="360" w:lineRule="auto"/>
        <w:jc w:val="left"/>
        <w:rPr>
          <w:rFonts w:hint="eastAsia" w:ascii="宋体" w:hAnsi="宋体" w:cs="宋体"/>
          <w:b/>
          <w:color w:val="auto"/>
          <w:kern w:val="0"/>
          <w:szCs w:val="21"/>
        </w:rPr>
      </w:pPr>
      <w:r>
        <w:rPr>
          <w:rFonts w:hint="eastAsia" w:ascii="宋体" w:hAnsi="宋体" w:cs="宋体"/>
          <w:b/>
          <w:color w:val="auto"/>
          <w:kern w:val="0"/>
          <w:szCs w:val="21"/>
        </w:rPr>
        <w:t>29.澄清</w:t>
      </w:r>
    </w:p>
    <w:p>
      <w:pPr>
        <w:widowControl/>
        <w:adjustRightInd w:val="0"/>
        <w:snapToGri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29.2 最后报价计算错误修正的原则：最后报价</w:t>
      </w:r>
      <w:r>
        <w:rPr>
          <w:rFonts w:hint="eastAsia" w:ascii="宋体" w:hAnsi="宋体" w:cs="Arial"/>
          <w:color w:val="auto"/>
          <w:kern w:val="0"/>
          <w:szCs w:val="21"/>
        </w:rPr>
        <w:t>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hint="eastAsia" w:ascii="宋体" w:hAnsi="宋体" w:cs="宋体"/>
          <w:b/>
          <w:color w:val="auto"/>
          <w:kern w:val="0"/>
          <w:szCs w:val="21"/>
        </w:rPr>
      </w:pPr>
      <w:r>
        <w:rPr>
          <w:rFonts w:hint="eastAsia" w:ascii="宋体" w:hAnsi="宋体" w:cs="宋体"/>
          <w:b/>
          <w:color w:val="auto"/>
          <w:kern w:val="0"/>
          <w:szCs w:val="21"/>
        </w:rPr>
        <w:t>30.磋商</w:t>
      </w:r>
    </w:p>
    <w:p>
      <w:pPr>
        <w:widowControl/>
        <w:adjustRightInd w:val="0"/>
        <w:snapToGrid w:val="0"/>
        <w:spacing w:line="360" w:lineRule="auto"/>
        <w:ind w:firstLine="420"/>
        <w:jc w:val="left"/>
        <w:rPr>
          <w:rFonts w:hint="eastAsia" w:ascii="宋体" w:hAnsi="宋体" w:cs="宋体"/>
          <w:color w:val="auto"/>
          <w:kern w:val="0"/>
          <w:szCs w:val="21"/>
          <w:lang w:val="zh-CN"/>
        </w:rPr>
      </w:pPr>
      <w:r>
        <w:rPr>
          <w:rFonts w:hint="eastAsia" w:ascii="宋体" w:hAnsi="宋体" w:cs="宋体"/>
          <w:color w:val="auto"/>
          <w:kern w:val="0"/>
          <w:szCs w:val="21"/>
        </w:rPr>
        <w:t>30.1</w:t>
      </w:r>
      <w:r>
        <w:rPr>
          <w:rFonts w:hint="eastAsia" w:ascii="宋体" w:hAnsi="宋体"/>
          <w:color w:val="auto"/>
        </w:rPr>
        <w:t>本章第</w:t>
      </w:r>
      <w:r>
        <w:rPr>
          <w:rFonts w:hint="eastAsia" w:ascii="宋体" w:hAnsi="宋体"/>
          <w:color w:val="auto"/>
        </w:rPr>
        <w:t>10.2</w:t>
      </w:r>
      <w:r>
        <w:rPr>
          <w:rFonts w:hint="eastAsia" w:ascii="宋体" w:hAnsi="宋体"/>
          <w:color w:val="auto"/>
        </w:rPr>
        <w:t>项</w:t>
      </w:r>
      <w:r>
        <w:rPr>
          <w:rFonts w:hint="eastAsia" w:ascii="宋体" w:hAnsi="宋体" w:cs="宋体"/>
          <w:color w:val="auto"/>
          <w:kern w:val="0"/>
          <w:szCs w:val="21"/>
        </w:rPr>
        <w:t>未明确磋商文件实质性变动内容的，或者磋商文件明确了可能发生实质性变动内容，但在磋商过程中，</w:t>
      </w:r>
      <w:r>
        <w:rPr>
          <w:rFonts w:hint="eastAsia" w:ascii="宋体" w:hAnsi="宋体"/>
          <w:bCs/>
          <w:color w:val="auto"/>
          <w:szCs w:val="21"/>
        </w:rPr>
        <w:t>磋商小组</w:t>
      </w:r>
      <w:r>
        <w:rPr>
          <w:rFonts w:hint="eastAsia" w:ascii="宋体" w:hAnsi="宋体" w:cs="Arial"/>
          <w:color w:val="auto"/>
          <w:kern w:val="0"/>
          <w:szCs w:val="21"/>
        </w:rPr>
        <w:t>根据</w:t>
      </w:r>
      <w:r>
        <w:rPr>
          <w:rFonts w:hint="eastAsia" w:ascii="宋体" w:hAnsi="宋体" w:cs="宋体"/>
          <w:color w:val="auto"/>
          <w:kern w:val="0"/>
          <w:szCs w:val="21"/>
        </w:rPr>
        <w:t>磋商情况</w:t>
      </w:r>
      <w:r>
        <w:rPr>
          <w:rFonts w:hint="eastAsia" w:ascii="宋体" w:hAnsi="宋体"/>
          <w:bCs/>
          <w:color w:val="auto"/>
          <w:szCs w:val="21"/>
        </w:rPr>
        <w:t>认为</w:t>
      </w:r>
      <w:r>
        <w:rPr>
          <w:rFonts w:hint="eastAsia" w:ascii="宋体" w:hAnsi="宋体" w:cs="宋体"/>
          <w:color w:val="auto"/>
          <w:kern w:val="0"/>
          <w:szCs w:val="21"/>
        </w:rPr>
        <w:t>磋商文件无需发生实质性变动的，</w:t>
      </w:r>
      <w:r>
        <w:rPr>
          <w:rFonts w:hint="eastAsia" w:ascii="宋体" w:hAnsi="宋体" w:cs="宋体"/>
          <w:color w:val="auto"/>
          <w:kern w:val="0"/>
          <w:szCs w:val="21"/>
        </w:rPr>
        <w:t>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（2）磋商文件明确可能发生实质性变动，但在磋商过程中</w:t>
      </w:r>
      <w:r>
        <w:rPr>
          <w:rFonts w:hint="eastAsia" w:ascii="宋体" w:hAnsi="宋体"/>
          <w:bCs/>
          <w:color w:val="auto"/>
          <w:szCs w:val="21"/>
        </w:rPr>
        <w:t>磋商小组</w:t>
      </w:r>
      <w:r>
        <w:rPr>
          <w:rFonts w:hint="eastAsia" w:ascii="宋体" w:hAnsi="宋体" w:cs="Arial"/>
          <w:color w:val="auto"/>
          <w:kern w:val="0"/>
          <w:szCs w:val="21"/>
        </w:rPr>
        <w:t>根据</w:t>
      </w:r>
      <w:r>
        <w:rPr>
          <w:rFonts w:hint="eastAsia" w:ascii="宋体" w:hAnsi="宋体" w:cs="宋体"/>
          <w:color w:val="auto"/>
          <w:kern w:val="0"/>
          <w:szCs w:val="21"/>
        </w:rPr>
        <w:t>磋商情况</w:t>
      </w:r>
      <w:r>
        <w:rPr>
          <w:rFonts w:hint="eastAsia" w:ascii="宋体" w:hAnsi="宋体"/>
          <w:bCs/>
          <w:color w:val="auto"/>
          <w:szCs w:val="21"/>
        </w:rPr>
        <w:t>认为</w:t>
      </w:r>
      <w:r>
        <w:rPr>
          <w:rFonts w:hint="eastAsia" w:ascii="宋体" w:hAnsi="宋体" w:cs="宋体"/>
          <w:color w:val="auto"/>
          <w:kern w:val="0"/>
          <w:szCs w:val="21"/>
        </w:rPr>
        <w:t>磋商文件无需发生实质性变动的，磋商小组不另行通知。</w:t>
      </w:r>
    </w:p>
    <w:p>
      <w:pPr>
        <w:widowControl/>
        <w:adjustRightInd w:val="0"/>
        <w:snapToGri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30.2</w:t>
      </w:r>
      <w:r>
        <w:rPr>
          <w:rFonts w:hint="eastAsia" w:ascii="宋体" w:hAnsi="宋体"/>
          <w:color w:val="auto"/>
        </w:rPr>
        <w:t>本章第10.2</w:t>
      </w:r>
      <w:r>
        <w:rPr>
          <w:rFonts w:hint="eastAsia" w:ascii="宋体" w:hAnsi="宋体" w:cs="宋体"/>
          <w:color w:val="auto"/>
          <w:kern w:val="0"/>
          <w:szCs w:val="21"/>
          <w:lang w:val="zh-CN"/>
        </w:rPr>
        <w:t>款</w:t>
      </w:r>
      <w:r>
        <w:rPr>
          <w:rFonts w:hint="eastAsia" w:ascii="宋体" w:hAnsi="宋体" w:cs="宋体"/>
          <w:color w:val="auto"/>
          <w:kern w:val="0"/>
          <w:szCs w:val="21"/>
        </w:rPr>
        <w:t>明确磋商文件实质性变动内容的，</w:t>
      </w:r>
      <w:r>
        <w:rPr>
          <w:rFonts w:hint="eastAsia" w:ascii="宋体" w:hAnsi="宋体"/>
          <w:bCs/>
          <w:color w:val="auto"/>
          <w:szCs w:val="21"/>
        </w:rPr>
        <w:t>磋商</w:t>
      </w:r>
      <w:r>
        <w:rPr>
          <w:rFonts w:hint="eastAsia" w:ascii="宋体" w:hAnsi="宋体"/>
          <w:bCs/>
          <w:color w:val="auto"/>
          <w:szCs w:val="21"/>
        </w:rPr>
        <w:t>小组</w:t>
      </w:r>
      <w:r>
        <w:rPr>
          <w:rFonts w:hint="eastAsia" w:ascii="宋体" w:hAnsi="宋体" w:cs="宋体"/>
          <w:color w:val="auto"/>
          <w:kern w:val="0"/>
          <w:szCs w:val="21"/>
        </w:rPr>
        <w:t>可以组织多轮磋商。</w:t>
      </w:r>
      <w:r>
        <w:rPr>
          <w:rFonts w:hint="eastAsia" w:ascii="宋体" w:hAnsi="宋体"/>
          <w:bCs/>
          <w:color w:val="auto"/>
          <w:szCs w:val="21"/>
        </w:rPr>
        <w:t>在每一轮磋商中，磋商小组</w:t>
      </w:r>
      <w:r>
        <w:rPr>
          <w:rFonts w:hint="eastAsia" w:ascii="宋体" w:hAnsi="宋体" w:cs="宋体"/>
          <w:color w:val="auto"/>
          <w:kern w:val="0"/>
          <w:szCs w:val="21"/>
        </w:rPr>
        <w:t>可以</w:t>
      </w:r>
      <w:r>
        <w:rPr>
          <w:rFonts w:hint="eastAsia" w:ascii="宋体" w:hAnsi="宋体" w:cs="Arial"/>
          <w:color w:val="auto"/>
          <w:kern w:val="0"/>
          <w:szCs w:val="21"/>
        </w:rPr>
        <w:t>根据</w:t>
      </w:r>
      <w:r>
        <w:rPr>
          <w:rFonts w:hint="eastAsia" w:ascii="宋体" w:hAnsi="宋体" w:cs="宋体"/>
          <w:color w:val="auto"/>
          <w:kern w:val="0"/>
          <w:szCs w:val="21"/>
        </w:rPr>
        <w:t>磋商文件规定和磋商情况，</w:t>
      </w:r>
      <w:r>
        <w:rPr>
          <w:rFonts w:hint="eastAsia" w:ascii="宋体" w:hAnsi="宋体"/>
          <w:bCs/>
          <w:color w:val="auto"/>
          <w:szCs w:val="21"/>
        </w:rPr>
        <w:t>对磋商文件的</w:t>
      </w:r>
      <w:r>
        <w:rPr>
          <w:rFonts w:hint="eastAsia" w:ascii="宋体" w:hAnsi="宋体" w:cs="宋体"/>
          <w:color w:val="auto"/>
          <w:kern w:val="0"/>
          <w:szCs w:val="21"/>
        </w:rPr>
        <w:t>采购需求中的技术、服务要求以及合同草案条款</w:t>
      </w:r>
      <w:r>
        <w:rPr>
          <w:rFonts w:hint="eastAsia" w:ascii="宋体" w:hAnsi="宋体"/>
          <w:bCs/>
          <w:color w:val="auto"/>
          <w:szCs w:val="21"/>
        </w:rPr>
        <w:t>作实质性变动(磋商文件的实质性变动内容为磋商文件的组成部分)，并以书面形式要求</w:t>
      </w:r>
      <w:r>
        <w:rPr>
          <w:rFonts w:hint="eastAsia" w:ascii="宋体" w:hAnsi="宋体" w:cs="宋体"/>
          <w:color w:val="auto"/>
          <w:kern w:val="0"/>
          <w:szCs w:val="21"/>
        </w:rPr>
        <w:t>响应文件审查合格</w:t>
      </w:r>
      <w:r>
        <w:rPr>
          <w:rFonts w:hint="eastAsia" w:ascii="宋体" w:hAnsi="宋体"/>
          <w:bCs/>
          <w:color w:val="auto"/>
          <w:szCs w:val="21"/>
        </w:rPr>
        <w:t>的供应商，在规定的</w:t>
      </w:r>
      <w:r>
        <w:rPr>
          <w:rFonts w:hint="eastAsia" w:ascii="宋体" w:hAnsi="宋体" w:cs="宋体"/>
          <w:color w:val="auto"/>
          <w:kern w:val="0"/>
          <w:szCs w:val="21"/>
        </w:rPr>
        <w:t>截止时间前</w:t>
      </w:r>
      <w:r>
        <w:rPr>
          <w:rFonts w:hint="eastAsia" w:ascii="宋体" w:hAnsi="宋体"/>
          <w:bCs/>
          <w:color w:val="auto"/>
          <w:szCs w:val="21"/>
        </w:rPr>
        <w:t>重</w:t>
      </w:r>
      <w:r>
        <w:rPr>
          <w:rFonts w:hint="eastAsia" w:ascii="宋体" w:hAnsi="宋体" w:cs="宋体"/>
          <w:color w:val="auto"/>
          <w:kern w:val="0"/>
          <w:szCs w:val="21"/>
        </w:rPr>
        <w:t>新提交响应文件</w:t>
      </w:r>
      <w:r>
        <w:rPr>
          <w:rFonts w:hint="eastAsia" w:ascii="宋体" w:hAnsi="宋体"/>
          <w:bCs/>
          <w:color w:val="auto"/>
          <w:szCs w:val="21"/>
        </w:rPr>
        <w:t>。</w:t>
      </w:r>
      <w:r>
        <w:rPr>
          <w:rFonts w:hint="eastAsia" w:ascii="宋体" w:hAnsi="宋体" w:cs="宋体"/>
          <w:color w:val="auto"/>
          <w:kern w:val="0"/>
          <w:szCs w:val="21"/>
        </w:rPr>
        <w:t>磋商小组应当</w:t>
      </w:r>
      <w:r>
        <w:rPr>
          <w:rFonts w:hint="eastAsia" w:ascii="宋体" w:hAnsi="宋体"/>
          <w:color w:val="auto"/>
          <w:szCs w:val="21"/>
        </w:rPr>
        <w:t>根据本章第26.2</w:t>
      </w:r>
      <w:r>
        <w:rPr>
          <w:rFonts w:hint="eastAsia" w:ascii="宋体" w:hAnsi="宋体" w:cs="宋体"/>
          <w:color w:val="auto"/>
          <w:kern w:val="0"/>
          <w:szCs w:val="21"/>
          <w:lang w:val="zh-CN"/>
        </w:rPr>
        <w:t>款</w:t>
      </w:r>
      <w:r>
        <w:rPr>
          <w:rFonts w:hint="eastAsia" w:ascii="宋体" w:hAnsi="宋体"/>
          <w:color w:val="auto"/>
          <w:szCs w:val="21"/>
        </w:rPr>
        <w:t>规定</w:t>
      </w:r>
      <w:r>
        <w:rPr>
          <w:rFonts w:hint="eastAsia" w:ascii="宋体" w:hAnsi="宋体" w:cs="宋体"/>
          <w:color w:val="auto"/>
          <w:kern w:val="0"/>
          <w:szCs w:val="21"/>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adjustRightInd w:val="0"/>
        <w:snapToGrid w:val="0"/>
        <w:spacing w:line="360" w:lineRule="auto"/>
        <w:ind w:firstLine="420"/>
        <w:jc w:val="left"/>
        <w:rPr>
          <w:rFonts w:hint="eastAsia" w:ascii="宋体" w:hAnsi="宋体"/>
          <w:bCs/>
          <w:color w:val="auto"/>
          <w:szCs w:val="21"/>
        </w:rPr>
      </w:pPr>
      <w:r>
        <w:rPr>
          <w:rFonts w:hint="eastAsia" w:ascii="宋体" w:hAnsi="宋体"/>
          <w:bCs/>
          <w:color w:val="auto"/>
          <w:szCs w:val="21"/>
        </w:rPr>
        <w:t>30.3</w:t>
      </w:r>
      <w:r>
        <w:rPr>
          <w:rFonts w:hint="eastAsia" w:ascii="宋体" w:hAnsi="宋体"/>
          <w:color w:val="auto"/>
        </w:rPr>
        <w:t xml:space="preserve"> </w:t>
      </w:r>
      <w:r>
        <w:rPr>
          <w:rFonts w:hint="eastAsia" w:ascii="宋体" w:hAnsi="宋体"/>
          <w:bCs/>
          <w:color w:val="auto"/>
        </w:rPr>
        <w:t>重</w:t>
      </w:r>
      <w:r>
        <w:rPr>
          <w:rFonts w:hint="eastAsia" w:ascii="宋体" w:hAnsi="宋体" w:cs="宋体"/>
          <w:color w:val="auto"/>
          <w:kern w:val="0"/>
        </w:rPr>
        <w:t>新提交的响应文件</w:t>
      </w:r>
      <w:r>
        <w:rPr>
          <w:rFonts w:hint="eastAsia" w:ascii="宋体" w:hAnsi="宋体"/>
          <w:color w:val="auto"/>
        </w:rPr>
        <w:t>或者最后报价应按</w:t>
      </w:r>
      <w:r>
        <w:rPr>
          <w:rFonts w:hint="eastAsia" w:ascii="宋体" w:hAnsi="宋体" w:cs="宋体"/>
          <w:color w:val="auto"/>
          <w:kern w:val="0"/>
          <w:szCs w:val="21"/>
        </w:rPr>
        <w:t>本章第</w:t>
      </w:r>
      <w:r>
        <w:rPr>
          <w:rFonts w:hint="eastAsia" w:ascii="宋体" w:hAnsi="宋体"/>
          <w:color w:val="auto"/>
        </w:rPr>
        <w:t>21.3</w:t>
      </w:r>
      <w:r>
        <w:rPr>
          <w:rFonts w:hint="eastAsia" w:ascii="宋体" w:hAnsi="宋体" w:cs="宋体"/>
          <w:color w:val="auto"/>
          <w:kern w:val="0"/>
          <w:szCs w:val="21"/>
          <w:lang w:val="zh-CN"/>
        </w:rPr>
        <w:t>款</w:t>
      </w:r>
      <w:r>
        <w:rPr>
          <w:rFonts w:hint="eastAsia" w:ascii="宋体" w:hAnsi="宋体"/>
          <w:color w:val="auto"/>
        </w:rPr>
        <w:t>规定，</w:t>
      </w:r>
      <w:r>
        <w:rPr>
          <w:rFonts w:hint="eastAsia" w:ascii="宋体" w:hAnsi="宋体" w:cs="宋体"/>
          <w:color w:val="auto"/>
          <w:kern w:val="0"/>
          <w:szCs w:val="21"/>
        </w:rPr>
        <w:t>由其法定代表人或其委托代理人签字或者加盖</w:t>
      </w:r>
      <w:r>
        <w:rPr>
          <w:rFonts w:hint="eastAsia" w:ascii="宋体" w:hAnsi="宋体" w:cs="宋体"/>
          <w:color w:val="auto"/>
          <w:kern w:val="0"/>
        </w:rPr>
        <w:t>供应商单位</w:t>
      </w:r>
      <w:r>
        <w:rPr>
          <w:rFonts w:hint="eastAsia" w:ascii="宋体" w:hAnsi="宋体" w:cs="宋体"/>
          <w:color w:val="auto"/>
          <w:kern w:val="0"/>
          <w:szCs w:val="21"/>
        </w:rPr>
        <w:t>章，在规定时间内密封递交给磋商小组</w:t>
      </w:r>
      <w:r>
        <w:rPr>
          <w:rFonts w:hint="eastAsia" w:ascii="宋体" w:hAnsi="宋体"/>
          <w:bCs/>
          <w:color w:val="auto"/>
          <w:szCs w:val="21"/>
        </w:rPr>
        <w:t>。</w:t>
      </w:r>
    </w:p>
    <w:p>
      <w:pPr>
        <w:widowControl/>
        <w:adjustRightInd w:val="0"/>
        <w:snapToGri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30.4</w:t>
      </w:r>
      <w:r>
        <w:rPr>
          <w:rFonts w:hint="eastAsia" w:ascii="宋体" w:hAnsi="宋体" w:cs="宋体"/>
          <w:color w:val="auto"/>
          <w:kern w:val="0"/>
          <w:szCs w:val="21"/>
          <w:lang w:val="zh-CN"/>
        </w:rPr>
        <w:t>供应商的</w:t>
      </w:r>
      <w:r>
        <w:rPr>
          <w:rFonts w:hint="eastAsia" w:ascii="宋体" w:hAnsi="宋体"/>
          <w:bCs/>
          <w:color w:val="auto"/>
          <w:szCs w:val="21"/>
        </w:rPr>
        <w:t>最</w:t>
      </w:r>
      <w:r>
        <w:rPr>
          <w:rFonts w:hint="eastAsia" w:ascii="宋体" w:hAnsi="宋体" w:cs="宋体"/>
          <w:color w:val="auto"/>
          <w:kern w:val="0"/>
          <w:szCs w:val="21"/>
          <w:lang w:val="zh-CN"/>
        </w:rPr>
        <w:t>后</w:t>
      </w:r>
      <w:r>
        <w:rPr>
          <w:rFonts w:hint="eastAsia" w:ascii="宋体" w:hAnsi="宋体"/>
          <w:bCs/>
          <w:color w:val="auto"/>
          <w:szCs w:val="21"/>
        </w:rPr>
        <w:t>报价及</w:t>
      </w:r>
      <w:r>
        <w:rPr>
          <w:rFonts w:hint="eastAsia" w:ascii="宋体" w:hAnsi="宋体" w:cs="宋体"/>
          <w:color w:val="auto"/>
          <w:kern w:val="0"/>
          <w:szCs w:val="21"/>
        </w:rPr>
        <w:t>采购政策规定的价格扣除情况，磋商小组应召集所有参加最后报价的供应商当场开封</w:t>
      </w:r>
      <w:r>
        <w:rPr>
          <w:rFonts w:hint="eastAsia" w:ascii="宋体" w:hAnsi="宋体"/>
          <w:bCs/>
          <w:color w:val="auto"/>
          <w:szCs w:val="21"/>
        </w:rPr>
        <w:t>公布，并由供应商代表签字确认。</w:t>
      </w:r>
    </w:p>
    <w:p>
      <w:pPr>
        <w:widowControl/>
        <w:adjustRightInd w:val="0"/>
        <w:snapToGri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30.5提交首次响应文件的供应商，在提交最后报价之前，可以根据磋商情况退出磋商，</w:t>
      </w:r>
      <w:r>
        <w:rPr>
          <w:rFonts w:hint="eastAsia" w:ascii="宋体" w:hAnsi="宋体" w:cs="宋体"/>
          <w:color w:val="auto"/>
          <w:kern w:val="0"/>
        </w:rPr>
        <w:t>并书面通知采购代理机构或者磋商小组。</w:t>
      </w:r>
      <w:r>
        <w:rPr>
          <w:rFonts w:hint="eastAsia" w:ascii="宋体" w:hAnsi="宋体"/>
          <w:color w:val="auto"/>
        </w:rPr>
        <w:t>该通知由供应商法定代表人或其委托代理人签字。</w:t>
      </w:r>
      <w:r>
        <w:rPr>
          <w:rFonts w:hint="eastAsia" w:ascii="宋体" w:hAnsi="宋体" w:cs="宋体"/>
          <w:color w:val="auto"/>
          <w:kern w:val="0"/>
          <w:szCs w:val="21"/>
        </w:rPr>
        <w:t>采购代理机构</w:t>
      </w:r>
      <w:r>
        <w:rPr>
          <w:rFonts w:hint="eastAsia" w:ascii="宋体" w:hAnsi="宋体" w:cs="宋体"/>
          <w:color w:val="auto"/>
          <w:kern w:val="0"/>
        </w:rPr>
        <w:t>按</w:t>
      </w:r>
      <w:r>
        <w:rPr>
          <w:rFonts w:hint="eastAsia" w:ascii="宋体" w:hAnsi="宋体" w:cs="宋体"/>
          <w:color w:val="auto"/>
          <w:kern w:val="0"/>
          <w:szCs w:val="21"/>
        </w:rPr>
        <w:t>本章第</w:t>
      </w:r>
      <w:r>
        <w:rPr>
          <w:rFonts w:hint="eastAsia" w:ascii="宋体" w:hAnsi="宋体"/>
          <w:color w:val="auto"/>
        </w:rPr>
        <w:t>19.4</w:t>
      </w:r>
      <w:r>
        <w:rPr>
          <w:rFonts w:hint="eastAsia" w:ascii="宋体" w:hAnsi="宋体" w:cs="宋体"/>
          <w:color w:val="auto"/>
          <w:kern w:val="0"/>
          <w:szCs w:val="21"/>
          <w:lang w:val="zh-CN"/>
        </w:rPr>
        <w:t>款</w:t>
      </w:r>
      <w:r>
        <w:rPr>
          <w:rFonts w:hint="eastAsia" w:ascii="宋体" w:hAnsi="宋体"/>
          <w:color w:val="auto"/>
        </w:rPr>
        <w:t>规定</w:t>
      </w:r>
      <w:r>
        <w:rPr>
          <w:rFonts w:hint="eastAsia" w:ascii="宋体" w:hAnsi="宋体" w:cs="宋体"/>
          <w:color w:val="auto"/>
          <w:kern w:val="0"/>
          <w:szCs w:val="21"/>
        </w:rPr>
        <w:t>退还退出磋商的供应商的磋商保证金。</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bCs/>
          <w:color w:val="auto"/>
          <w:szCs w:val="21"/>
        </w:rPr>
        <w:t>30.6</w:t>
      </w:r>
      <w:r>
        <w:rPr>
          <w:rFonts w:hint="eastAsia" w:ascii="宋体" w:hAnsi="宋体" w:cs="宋体"/>
          <w:color w:val="auto"/>
          <w:kern w:val="0"/>
          <w:szCs w:val="21"/>
        </w:rPr>
        <w:t>提交首次响应文件的供应商，未按磋商文件规定及磋商小组要求提交最后报价(或者</w:t>
      </w:r>
      <w:r>
        <w:rPr>
          <w:rFonts w:hint="eastAsia" w:ascii="宋体" w:hAnsi="宋体"/>
          <w:bCs/>
          <w:color w:val="auto"/>
          <w:szCs w:val="21"/>
        </w:rPr>
        <w:t>重</w:t>
      </w:r>
      <w:r>
        <w:rPr>
          <w:rFonts w:hint="eastAsia" w:ascii="宋体" w:hAnsi="宋体" w:cs="宋体"/>
          <w:color w:val="auto"/>
          <w:kern w:val="0"/>
          <w:szCs w:val="21"/>
        </w:rPr>
        <w:t>新提交的响应文件和最后报价)，且又</w:t>
      </w:r>
      <w:r>
        <w:rPr>
          <w:rFonts w:hint="eastAsia" w:ascii="宋体" w:hAnsi="宋体" w:cs="宋体"/>
          <w:color w:val="auto"/>
          <w:kern w:val="0"/>
        </w:rPr>
        <w:t>未按</w:t>
      </w:r>
      <w:r>
        <w:rPr>
          <w:rFonts w:hint="eastAsia" w:ascii="宋体" w:hAnsi="宋体" w:cs="宋体"/>
          <w:color w:val="auto"/>
          <w:kern w:val="0"/>
          <w:szCs w:val="21"/>
        </w:rPr>
        <w:t>本章第</w:t>
      </w:r>
      <w:r>
        <w:rPr>
          <w:rFonts w:hint="eastAsia" w:ascii="宋体" w:hAnsi="宋体"/>
          <w:color w:val="auto"/>
        </w:rPr>
        <w:t>30.5</w:t>
      </w:r>
      <w:r>
        <w:rPr>
          <w:rFonts w:hint="eastAsia" w:ascii="宋体" w:hAnsi="宋体" w:cs="宋体"/>
          <w:color w:val="auto"/>
          <w:kern w:val="0"/>
          <w:szCs w:val="21"/>
          <w:lang w:val="zh-CN"/>
        </w:rPr>
        <w:t>款</w:t>
      </w:r>
      <w:r>
        <w:rPr>
          <w:rFonts w:hint="eastAsia" w:ascii="宋体" w:hAnsi="宋体"/>
          <w:color w:val="auto"/>
        </w:rPr>
        <w:t>规定</w:t>
      </w:r>
      <w:r>
        <w:rPr>
          <w:rFonts w:hint="eastAsia" w:ascii="宋体" w:hAnsi="宋体" w:cs="宋体"/>
          <w:color w:val="auto"/>
          <w:kern w:val="0"/>
          <w:szCs w:val="21"/>
        </w:rPr>
        <w:t>退出磋商的，供应商的磋商保证金不予退还。</w:t>
      </w:r>
    </w:p>
    <w:p>
      <w:pPr>
        <w:widowControl/>
        <w:adjustRightInd w:val="0"/>
        <w:snapToGrid w:val="0"/>
        <w:spacing w:line="360" w:lineRule="auto"/>
        <w:jc w:val="left"/>
        <w:rPr>
          <w:rFonts w:hint="eastAsia" w:ascii="宋体" w:hAnsi="宋体"/>
          <w:b/>
          <w:bCs/>
          <w:color w:val="auto"/>
          <w:szCs w:val="21"/>
        </w:rPr>
      </w:pPr>
      <w:r>
        <w:rPr>
          <w:rFonts w:hint="eastAsia" w:ascii="宋体" w:hAnsi="宋体" w:cs="宋体"/>
          <w:b/>
          <w:color w:val="auto"/>
          <w:kern w:val="0"/>
          <w:szCs w:val="21"/>
        </w:rPr>
        <w:t>31.响应文件评审</w:t>
      </w:r>
    </w:p>
    <w:p>
      <w:pPr>
        <w:widowControl/>
        <w:adjustRightInd w:val="0"/>
        <w:snapToGrid w:val="0"/>
        <w:spacing w:line="360" w:lineRule="auto"/>
        <w:ind w:firstLine="420" w:firstLineChars="200"/>
        <w:jc w:val="left"/>
        <w:rPr>
          <w:rFonts w:hint="eastAsia" w:ascii="宋体" w:hAnsi="宋体"/>
          <w:bCs/>
          <w:color w:val="auto"/>
          <w:szCs w:val="21"/>
        </w:rPr>
      </w:pPr>
      <w:r>
        <w:rPr>
          <w:rFonts w:hint="eastAsia" w:ascii="宋体" w:hAnsi="宋体"/>
          <w:bCs/>
          <w:color w:val="auto"/>
          <w:szCs w:val="21"/>
        </w:rPr>
        <w:t>31.1经磋商确定最终采购需求和提交最后报价的供应商后，由磋商小组采用综合评分法对提交最后报价的供应商的响应文件和最后报价进行综合评价。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hint="eastAsia" w:ascii="宋体" w:hAnsi="宋体"/>
          <w:bCs/>
          <w:color w:val="auto"/>
          <w:szCs w:val="21"/>
        </w:rPr>
      </w:pPr>
      <w:r>
        <w:rPr>
          <w:rFonts w:hint="eastAsia" w:ascii="宋体" w:hAnsi="宋体"/>
          <w:bCs/>
          <w:color w:val="auto"/>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b/>
          <w:bCs/>
          <w:color w:val="auto"/>
          <w:szCs w:val="21"/>
        </w:rPr>
        <w:t>磋商须知前附表。</w:t>
      </w:r>
    </w:p>
    <w:p>
      <w:pPr>
        <w:widowControl/>
        <w:adjustRightInd w:val="0"/>
        <w:snapToGrid w:val="0"/>
        <w:spacing w:beforeLines="50" w:line="360" w:lineRule="auto"/>
        <w:ind w:firstLine="420" w:firstLineChars="200"/>
        <w:jc w:val="left"/>
        <w:rPr>
          <w:rFonts w:hint="eastAsia" w:ascii="宋体" w:hAnsi="宋体"/>
          <w:bCs/>
          <w:color w:val="auto"/>
          <w:szCs w:val="21"/>
        </w:rPr>
      </w:pPr>
      <w:r>
        <w:rPr>
          <w:rFonts w:hint="eastAsia" w:ascii="宋体" w:hAnsi="宋体" w:cs="宋体"/>
          <w:color w:val="auto"/>
          <w:kern w:val="0"/>
          <w:szCs w:val="21"/>
        </w:rPr>
        <w:t>31.3</w:t>
      </w:r>
      <w:r>
        <w:rPr>
          <w:rFonts w:hint="eastAsia" w:ascii="宋体" w:hAnsi="宋体"/>
          <w:color w:val="auto"/>
          <w:szCs w:val="21"/>
        </w:rPr>
        <w:t>最后报价调整。磋商小组以各供应商最后报价为基础，按照符合采购支持中小企业发展的相应条件，对供应商的最后报价进行价格扣除，用扣除后的最后报价计算价格得分，具体价格扣除比例见</w:t>
      </w:r>
      <w:r>
        <w:rPr>
          <w:rFonts w:hint="eastAsia" w:ascii="宋体" w:hAnsi="宋体"/>
          <w:b/>
          <w:color w:val="auto"/>
          <w:szCs w:val="21"/>
        </w:rPr>
        <w:t>磋商须知前附表</w:t>
      </w:r>
      <w:r>
        <w:rPr>
          <w:rFonts w:hint="eastAsia" w:ascii="宋体" w:hAnsi="宋体"/>
          <w:color w:val="auto"/>
          <w:szCs w:val="21"/>
        </w:rPr>
        <w:t>。</w:t>
      </w:r>
    </w:p>
    <w:p>
      <w:pPr>
        <w:widowControl/>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31.4综合评分法中的价格分采用低价优先法计算，即满足磋商文件要求且经调整后的最后报价最低的供应商的价格为磋商基准价，其价格分为满分。其他供应商的价格分按照下列公式计算：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磋商报价得分=（磋商基准价/最后磋商报价）×价格权值×100</w:t>
      </w:r>
    </w:p>
    <w:p>
      <w:pPr>
        <w:widowControl/>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项目评审过程中，不得去掉最后报价中的最高报价和最低报价。</w:t>
      </w:r>
    </w:p>
    <w:p>
      <w:pPr>
        <w:widowControl/>
        <w:adjustRightInd w:val="0"/>
        <w:snapToGrid w:val="0"/>
        <w:spacing w:beforeLines="50" w:line="360" w:lineRule="auto"/>
        <w:ind w:firstLine="420" w:firstLineChars="200"/>
        <w:jc w:val="left"/>
        <w:rPr>
          <w:rFonts w:hint="eastAsia" w:ascii="宋体" w:hAnsi="宋体"/>
          <w:color w:val="auto"/>
          <w:szCs w:val="21"/>
        </w:rPr>
      </w:pPr>
      <w:r>
        <w:rPr>
          <w:rFonts w:hint="eastAsia" w:ascii="宋体" w:hAnsi="宋体"/>
          <w:bCs/>
          <w:color w:val="auto"/>
          <w:szCs w:val="21"/>
        </w:rPr>
        <w:t>31.5</w:t>
      </w:r>
      <w:r>
        <w:rPr>
          <w:rFonts w:hint="eastAsia" w:ascii="宋体" w:hAnsi="宋体"/>
          <w:color w:val="auto"/>
          <w:szCs w:val="21"/>
        </w:rPr>
        <w:t>涉及采购政策优惠对供应商分值进行调整的，</w:t>
      </w:r>
      <w:r>
        <w:rPr>
          <w:rFonts w:hint="eastAsia" w:ascii="宋体" w:hAnsi="宋体"/>
          <w:bCs/>
          <w:color w:val="auto"/>
          <w:szCs w:val="21"/>
        </w:rPr>
        <w:t>按</w:t>
      </w:r>
      <w:r>
        <w:rPr>
          <w:rFonts w:hint="eastAsia" w:ascii="宋体" w:hAnsi="宋体"/>
          <w:b/>
          <w:color w:val="auto"/>
          <w:szCs w:val="21"/>
        </w:rPr>
        <w:t>磋商须知前附表</w:t>
      </w:r>
      <w:r>
        <w:rPr>
          <w:rFonts w:hint="eastAsia" w:ascii="宋体" w:hAnsi="宋体"/>
          <w:bCs/>
          <w:color w:val="auto"/>
          <w:szCs w:val="21"/>
        </w:rPr>
        <w:t>规定</w:t>
      </w:r>
      <w:r>
        <w:rPr>
          <w:rFonts w:hint="eastAsia" w:ascii="宋体" w:hAnsi="宋体"/>
          <w:color w:val="auto"/>
          <w:szCs w:val="21"/>
        </w:rPr>
        <w:t>调整供应商的技术、商务、价格</w:t>
      </w:r>
      <w:r>
        <w:rPr>
          <w:rFonts w:hint="eastAsia" w:ascii="宋体" w:hAnsi="宋体" w:cs="宋体"/>
          <w:color w:val="auto"/>
          <w:kern w:val="0"/>
          <w:szCs w:val="21"/>
        </w:rPr>
        <w:t>得分或总得分</w:t>
      </w:r>
      <w:r>
        <w:rPr>
          <w:rFonts w:hint="eastAsia" w:ascii="宋体" w:hAnsi="宋体"/>
          <w:color w:val="auto"/>
          <w:szCs w:val="21"/>
        </w:rPr>
        <w:t>。</w:t>
      </w:r>
    </w:p>
    <w:p>
      <w:pPr>
        <w:adjustRightInd w:val="0"/>
        <w:snapToGrid w:val="0"/>
        <w:spacing w:beforeLines="50" w:line="360" w:lineRule="auto"/>
        <w:ind w:firstLine="420" w:firstLineChars="200"/>
        <w:rPr>
          <w:rFonts w:hint="eastAsia" w:ascii="宋体" w:hAnsi="宋体"/>
          <w:color w:val="auto"/>
          <w:szCs w:val="21"/>
        </w:rPr>
      </w:pPr>
      <w:r>
        <w:rPr>
          <w:rFonts w:hint="eastAsia" w:ascii="宋体" w:hAnsi="宋体"/>
          <w:color w:val="auto"/>
          <w:szCs w:val="21"/>
        </w:rPr>
        <w:t>31.6涉及多处或部分获得采购政策优惠的，其多处或部分享受采购优惠政策的计算方法见</w:t>
      </w:r>
      <w:r>
        <w:rPr>
          <w:rFonts w:hint="eastAsia" w:ascii="宋体" w:hAnsi="宋体"/>
          <w:b/>
          <w:color w:val="auto"/>
          <w:szCs w:val="21"/>
        </w:rPr>
        <w:t>磋商须知前附表</w:t>
      </w:r>
      <w:r>
        <w:rPr>
          <w:rFonts w:hint="eastAsia" w:ascii="宋体" w:hAnsi="宋体"/>
          <w:color w:val="auto"/>
          <w:szCs w:val="21"/>
        </w:rPr>
        <w:t>相关规定。</w:t>
      </w:r>
    </w:p>
    <w:p>
      <w:pPr>
        <w:widowControl/>
        <w:adjustRightInd w:val="0"/>
        <w:snapToGrid w:val="0"/>
        <w:spacing w:beforeLines="50" w:line="360" w:lineRule="auto"/>
        <w:ind w:firstLine="420" w:firstLineChars="200"/>
        <w:jc w:val="left"/>
        <w:rPr>
          <w:rFonts w:hint="eastAsia" w:ascii="宋体" w:hAnsi="宋体"/>
          <w:color w:val="auto"/>
          <w:szCs w:val="21"/>
        </w:rPr>
      </w:pPr>
      <w:r>
        <w:rPr>
          <w:rFonts w:hint="eastAsia" w:ascii="宋体" w:hAnsi="宋体" w:cs="宋体"/>
          <w:color w:val="auto"/>
          <w:kern w:val="0"/>
          <w:szCs w:val="21"/>
        </w:rPr>
        <w:t>31.7</w:t>
      </w:r>
      <w:r>
        <w:rPr>
          <w:rFonts w:hint="eastAsia" w:ascii="宋体" w:hAnsi="宋体"/>
          <w:color w:val="auto"/>
          <w:szCs w:val="21"/>
        </w:rPr>
        <w:t>评审时，磋商小组各成员应当独立对每个供应商的</w:t>
      </w:r>
      <w:r>
        <w:rPr>
          <w:rFonts w:hint="eastAsia" w:ascii="宋体" w:hAnsi="宋体"/>
          <w:bCs/>
          <w:color w:val="auto"/>
          <w:szCs w:val="21"/>
        </w:rPr>
        <w:t>响应文件</w:t>
      </w:r>
      <w:r>
        <w:rPr>
          <w:rFonts w:hint="eastAsia" w:ascii="宋体" w:hAnsi="宋体"/>
          <w:color w:val="auto"/>
          <w:szCs w:val="21"/>
        </w:rPr>
        <w:t>进行评价、评分，并按照采购优惠政策对最后报价进行价格扣除和技术、商务、价格加分后，汇总各供应商的总得分。</w:t>
      </w:r>
    </w:p>
    <w:p>
      <w:pPr>
        <w:widowControl/>
        <w:adjustRightInd w:val="0"/>
        <w:snapToGrid w:val="0"/>
        <w:spacing w:line="360" w:lineRule="auto"/>
        <w:jc w:val="left"/>
        <w:rPr>
          <w:rFonts w:hint="eastAsia" w:ascii="宋体" w:hAnsi="宋体"/>
          <w:b/>
          <w:bCs/>
          <w:color w:val="auto"/>
          <w:szCs w:val="21"/>
        </w:rPr>
      </w:pPr>
      <w:r>
        <w:rPr>
          <w:rFonts w:hint="eastAsia" w:ascii="宋体" w:hAnsi="宋体"/>
          <w:b/>
          <w:bCs/>
          <w:color w:val="auto"/>
          <w:szCs w:val="21"/>
        </w:rPr>
        <w:t>32</w:t>
      </w:r>
      <w:r>
        <w:rPr>
          <w:rFonts w:hint="eastAsia" w:ascii="宋体" w:hAnsi="宋体" w:cs="宋体"/>
          <w:b/>
          <w:color w:val="auto"/>
          <w:kern w:val="0"/>
          <w:szCs w:val="21"/>
        </w:rPr>
        <w:t>.</w:t>
      </w:r>
      <w:r>
        <w:rPr>
          <w:rFonts w:hint="eastAsia" w:ascii="宋体" w:hAnsi="宋体"/>
          <w:b/>
          <w:bCs/>
          <w:color w:val="auto"/>
          <w:szCs w:val="21"/>
        </w:rPr>
        <w:t>提出成交供应商</w:t>
      </w:r>
    </w:p>
    <w:p>
      <w:pPr>
        <w:widowControl/>
        <w:spacing w:line="420" w:lineRule="atLeast"/>
        <w:jc w:val="left"/>
        <w:rPr>
          <w:rFonts w:hint="eastAsia" w:ascii="宋体" w:hAnsi="宋体"/>
          <w:bCs/>
          <w:color w:val="auto"/>
          <w:szCs w:val="21"/>
        </w:rPr>
      </w:pPr>
      <w:r>
        <w:rPr>
          <w:rFonts w:hint="eastAsia" w:ascii="宋体" w:hAnsi="宋体" w:cs="宋体"/>
          <w:color w:val="auto"/>
          <w:kern w:val="0"/>
          <w:szCs w:val="21"/>
        </w:rPr>
        <w:t xml:space="preserve">    32.1</w:t>
      </w:r>
      <w:r>
        <w:rPr>
          <w:rFonts w:hint="eastAsia" w:ascii="宋体" w:hAnsi="宋体"/>
          <w:bCs/>
          <w:color w:val="auto"/>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pPr>
        <w:tabs>
          <w:tab w:val="left" w:pos="0"/>
        </w:tabs>
        <w:adjustRightInd w:val="0"/>
        <w:snapToGrid w:val="0"/>
        <w:spacing w:line="360" w:lineRule="auto"/>
        <w:rPr>
          <w:rFonts w:hint="eastAsia" w:ascii="宋体" w:hAnsi="宋体"/>
          <w:b/>
          <w:bCs/>
          <w:color w:val="auto"/>
          <w:szCs w:val="21"/>
        </w:rPr>
      </w:pPr>
      <w:r>
        <w:rPr>
          <w:rFonts w:hint="eastAsia" w:ascii="宋体" w:hAnsi="宋体"/>
          <w:b/>
          <w:bCs/>
          <w:color w:val="auto"/>
          <w:szCs w:val="21"/>
        </w:rPr>
        <w:t>33.确定成交供应商</w:t>
      </w:r>
    </w:p>
    <w:p>
      <w:pPr>
        <w:widowControl/>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33.1采购代理机构应当在评审结束后2个工作日内将评审报告送采购人确认。</w:t>
      </w:r>
    </w:p>
    <w:p>
      <w:pPr>
        <w:widowControl/>
        <w:adjustRightInd w:val="0"/>
        <w:snapToGri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33.2采购人应当在收到评审报告后5个工作日内，从评审报告提出的成交候选供应商中，按照排序由高到低的原则确定成交供应商，也可以书面授权磋商小组直接确定成交供应商。</w:t>
      </w:r>
    </w:p>
    <w:p>
      <w:pPr>
        <w:pStyle w:val="11"/>
        <w:adjustRightInd w:val="0"/>
        <w:snapToGrid w:val="0"/>
        <w:spacing w:line="360" w:lineRule="auto"/>
        <w:ind w:left="638" w:hanging="632" w:hangingChars="300"/>
        <w:rPr>
          <w:rFonts w:hint="eastAsia" w:hAnsi="宋体"/>
          <w:b/>
          <w:color w:val="auto"/>
        </w:rPr>
      </w:pPr>
      <w:r>
        <w:rPr>
          <w:rFonts w:hint="eastAsia" w:hAnsi="宋体"/>
          <w:b/>
          <w:color w:val="auto"/>
        </w:rPr>
        <w:t>34.磋商终止</w:t>
      </w:r>
    </w:p>
    <w:p>
      <w:pPr>
        <w:widowControl/>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bCs/>
          <w:color w:val="auto"/>
          <w:szCs w:val="21"/>
        </w:rPr>
        <w:t>34.1</w:t>
      </w:r>
      <w:r>
        <w:rPr>
          <w:rFonts w:hint="eastAsia" w:ascii="宋体" w:hAnsi="宋体" w:cs="宋体"/>
          <w:color w:val="auto"/>
          <w:kern w:val="0"/>
          <w:szCs w:val="21"/>
        </w:rPr>
        <w:t>出现下列情形之一的，采购人或者采购代理机构应当终止</w:t>
      </w:r>
      <w:r>
        <w:rPr>
          <w:rFonts w:hint="eastAsia" w:ascii="宋体" w:hAnsi="宋体" w:cs="宋体"/>
          <w:color w:val="auto"/>
          <w:kern w:val="0"/>
          <w:szCs w:val="21"/>
          <w:lang w:eastAsia="zh-CN"/>
        </w:rPr>
        <w:t>竞争磋商</w:t>
      </w:r>
      <w:r>
        <w:rPr>
          <w:rFonts w:hint="eastAsia" w:ascii="宋体" w:hAnsi="宋体" w:cs="宋体"/>
          <w:color w:val="auto"/>
          <w:kern w:val="0"/>
          <w:szCs w:val="21"/>
        </w:rPr>
        <w:t>采购活动，</w:t>
      </w:r>
      <w:r>
        <w:rPr>
          <w:rFonts w:hint="eastAsia" w:ascii="宋体" w:hAnsi="宋体"/>
          <w:color w:val="auto"/>
        </w:rPr>
        <w:t>在本章第37.1款指定的媒体上</w:t>
      </w:r>
      <w:r>
        <w:rPr>
          <w:rFonts w:hint="eastAsia" w:ascii="宋体" w:hAnsi="宋体" w:cs="宋体"/>
          <w:color w:val="auto"/>
          <w:kern w:val="0"/>
          <w:szCs w:val="21"/>
        </w:rPr>
        <w:t xml:space="preserve">发布项目终止公告并说明原因，重新开展采购活动： </w:t>
      </w:r>
    </w:p>
    <w:p>
      <w:pPr>
        <w:widowControl/>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（1）因情况变化，不再符合规定的</w:t>
      </w:r>
      <w:r>
        <w:rPr>
          <w:rFonts w:hint="eastAsia" w:ascii="宋体" w:hAnsi="宋体" w:cs="宋体"/>
          <w:color w:val="auto"/>
          <w:kern w:val="0"/>
          <w:szCs w:val="21"/>
          <w:lang w:eastAsia="zh-CN"/>
        </w:rPr>
        <w:t>竞争磋商</w:t>
      </w:r>
      <w:r>
        <w:rPr>
          <w:rFonts w:hint="eastAsia" w:ascii="宋体" w:hAnsi="宋体" w:cs="宋体"/>
          <w:color w:val="auto"/>
          <w:kern w:val="0"/>
          <w:szCs w:val="21"/>
        </w:rPr>
        <w:t>采购方式适用情形的；</w:t>
      </w:r>
    </w:p>
    <w:p>
      <w:pPr>
        <w:widowControl/>
        <w:adjustRightInd w:val="0"/>
        <w:snapToGri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（2）出现影响采购公正的违法、违规行为的；</w:t>
      </w:r>
    </w:p>
    <w:p>
      <w:pPr>
        <w:widowControl/>
        <w:adjustRightInd w:val="0"/>
        <w:snapToGrid w:val="0"/>
        <w:spacing w:line="360" w:lineRule="auto"/>
        <w:ind w:firstLine="420"/>
        <w:jc w:val="left"/>
        <w:rPr>
          <w:rFonts w:hint="eastAsia" w:ascii="宋体" w:hAnsi="宋体"/>
          <w:bCs/>
          <w:color w:val="auto"/>
          <w:szCs w:val="21"/>
        </w:rPr>
      </w:pPr>
      <w:r>
        <w:rPr>
          <w:rFonts w:hint="eastAsia" w:ascii="宋体" w:hAnsi="宋体" w:cs="宋体"/>
          <w:color w:val="auto"/>
          <w:kern w:val="0"/>
          <w:szCs w:val="21"/>
        </w:rPr>
        <w:t>（3）</w:t>
      </w:r>
      <w:r>
        <w:rPr>
          <w:rFonts w:hint="eastAsia" w:ascii="宋体" w:hAnsi="宋体"/>
          <w:bCs/>
          <w:color w:val="auto"/>
          <w:szCs w:val="21"/>
        </w:rPr>
        <w:t>在采购过程中符合要求的供应商或者报价未超过采购预算的供应商不足3家的；</w:t>
      </w:r>
    </w:p>
    <w:p>
      <w:pPr>
        <w:widowControl/>
        <w:adjustRightInd w:val="0"/>
        <w:snapToGrid w:val="0"/>
        <w:spacing w:line="360" w:lineRule="auto"/>
        <w:ind w:firstLine="420"/>
        <w:jc w:val="left"/>
        <w:rPr>
          <w:rFonts w:hint="eastAsia" w:ascii="宋体" w:hAnsi="宋体"/>
          <w:bCs/>
          <w:color w:val="auto"/>
          <w:szCs w:val="21"/>
        </w:rPr>
      </w:pPr>
      <w:r>
        <w:rPr>
          <w:rFonts w:hint="eastAsia" w:ascii="宋体" w:hAnsi="宋体" w:cs="宋体"/>
          <w:color w:val="auto"/>
          <w:kern w:val="0"/>
          <w:szCs w:val="21"/>
        </w:rPr>
        <w:t>（4）因重大变故，采购任务取消的。</w:t>
      </w:r>
    </w:p>
    <w:p>
      <w:pPr>
        <w:widowControl/>
        <w:adjustRightInd w:val="0"/>
        <w:snapToGrid w:val="0"/>
        <w:spacing w:line="360" w:lineRule="auto"/>
        <w:jc w:val="left"/>
        <w:rPr>
          <w:rFonts w:hint="eastAsia" w:ascii="宋体" w:hAnsi="宋体" w:cs="宋体"/>
          <w:b/>
          <w:color w:val="auto"/>
          <w:kern w:val="0"/>
          <w:szCs w:val="21"/>
        </w:rPr>
      </w:pPr>
      <w:r>
        <w:rPr>
          <w:rFonts w:hint="eastAsia" w:ascii="宋体" w:hAnsi="宋体" w:cs="宋体"/>
          <w:b/>
          <w:color w:val="auto"/>
          <w:kern w:val="0"/>
          <w:szCs w:val="21"/>
        </w:rPr>
        <w:t>35．重新评审</w:t>
      </w:r>
    </w:p>
    <w:p>
      <w:pPr>
        <w:widowControl/>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hint="eastAsia" w:ascii="宋体" w:hAnsi="宋体"/>
          <w:b/>
          <w:bCs/>
          <w:color w:val="auto"/>
          <w:szCs w:val="21"/>
        </w:rPr>
      </w:pPr>
      <w:r>
        <w:rPr>
          <w:rFonts w:hint="eastAsia" w:ascii="宋体" w:hAnsi="宋体"/>
          <w:b/>
          <w:bCs/>
          <w:color w:val="auto"/>
          <w:szCs w:val="21"/>
        </w:rPr>
        <w:t>36.保密及串通行为</w:t>
      </w:r>
    </w:p>
    <w:p>
      <w:pPr>
        <w:adjustRightInd w:val="0"/>
        <w:snapToGrid w:val="0"/>
        <w:spacing w:line="360" w:lineRule="auto"/>
        <w:ind w:firstLine="420" w:firstLineChars="200"/>
        <w:rPr>
          <w:rFonts w:hint="eastAsia" w:ascii="宋体" w:hAnsi="宋体"/>
          <w:color w:val="auto"/>
        </w:rPr>
      </w:pPr>
      <w:r>
        <w:rPr>
          <w:rFonts w:hint="eastAsia" w:ascii="宋体" w:hAnsi="宋体"/>
          <w:color w:val="auto"/>
        </w:rPr>
        <w:t>36.1磋商小组成员以及与评审工作有关的人员不得泄露评审情况以及评审过程中获悉的国家秘密、商业秘密。</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36.2</w:t>
      </w:r>
      <w:r>
        <w:rPr>
          <w:rFonts w:hint="eastAsia" w:ascii="宋体" w:hAnsi="宋体" w:cs="宋体"/>
          <w:color w:val="auto"/>
          <w:kern w:val="0"/>
          <w:szCs w:val="21"/>
        </w:rPr>
        <w:t>供应商</w:t>
      </w:r>
      <w:r>
        <w:rPr>
          <w:rFonts w:hint="eastAsia" w:ascii="宋体" w:hAnsi="宋体"/>
          <w:color w:val="auto"/>
          <w:szCs w:val="21"/>
        </w:rPr>
        <w:t>不得与</w:t>
      </w:r>
      <w:r>
        <w:rPr>
          <w:rFonts w:hint="eastAsia" w:ascii="宋体" w:hAnsi="宋体" w:cs="宋体"/>
          <w:color w:val="auto"/>
          <w:kern w:val="0"/>
          <w:szCs w:val="21"/>
        </w:rPr>
        <w:t>采购人、采购代理机构、其他供应商恶意</w:t>
      </w:r>
      <w:r>
        <w:rPr>
          <w:rFonts w:hint="eastAsia" w:ascii="宋体" w:hAnsi="宋体"/>
          <w:color w:val="auto"/>
          <w:szCs w:val="21"/>
        </w:rPr>
        <w:t>串通；不得向</w:t>
      </w:r>
      <w:r>
        <w:rPr>
          <w:rFonts w:hint="eastAsia" w:ascii="宋体" w:hAnsi="宋体" w:cs="宋体"/>
          <w:color w:val="auto"/>
          <w:kern w:val="0"/>
          <w:szCs w:val="21"/>
        </w:rPr>
        <w:t>采购人、采购代理机构</w:t>
      </w:r>
      <w:r>
        <w:rPr>
          <w:rFonts w:hint="eastAsia" w:ascii="宋体" w:hAnsi="宋体"/>
          <w:color w:val="auto"/>
          <w:szCs w:val="21"/>
        </w:rPr>
        <w:t>或者磋商小组成员行贿或者提供其他不正当利益；不得提供虚假资料谋取成交；不得以任何方式干扰、影响采购工作。</w:t>
      </w:r>
    </w:p>
    <w:p>
      <w:pPr>
        <w:pStyle w:val="17"/>
        <w:adjustRightInd w:val="0"/>
        <w:snapToGrid w:val="0"/>
        <w:spacing w:before="0" w:beforeAutospacing="0" w:after="0" w:afterAutospacing="0" w:line="360" w:lineRule="auto"/>
        <w:ind w:firstLine="420" w:firstLineChars="200"/>
        <w:rPr>
          <w:rFonts w:hint="eastAsia"/>
          <w:color w:val="auto"/>
          <w:sz w:val="21"/>
          <w:szCs w:val="21"/>
          <w:lang w:val="zh-CN"/>
        </w:rPr>
      </w:pPr>
      <w:r>
        <w:rPr>
          <w:rFonts w:hint="eastAsia" w:cs="Arial"/>
          <w:color w:val="auto"/>
          <w:sz w:val="21"/>
          <w:szCs w:val="21"/>
        </w:rPr>
        <w:t>36.3</w:t>
      </w:r>
      <w:r>
        <w:rPr>
          <w:rFonts w:hint="eastAsia"/>
          <w:color w:val="auto"/>
          <w:sz w:val="21"/>
          <w:szCs w:val="21"/>
          <w:lang w:val="zh-CN"/>
        </w:rPr>
        <w:t>有下列情形之一的，属于恶意串通，对供应商追究法律责任：</w:t>
      </w:r>
    </w:p>
    <w:p>
      <w:pPr>
        <w:pStyle w:val="17"/>
        <w:adjustRightInd w:val="0"/>
        <w:snapToGrid w:val="0"/>
        <w:spacing w:before="0" w:beforeAutospacing="0" w:after="0" w:afterAutospacing="0" w:line="360" w:lineRule="auto"/>
        <w:ind w:firstLine="420" w:firstLineChars="200"/>
        <w:rPr>
          <w:rFonts w:hint="eastAsia"/>
          <w:color w:val="auto"/>
          <w:sz w:val="21"/>
          <w:szCs w:val="21"/>
          <w:lang w:val="zh-CN"/>
        </w:rPr>
      </w:pPr>
      <w:r>
        <w:rPr>
          <w:rFonts w:hint="eastAsia"/>
          <w:color w:val="auto"/>
          <w:sz w:val="21"/>
          <w:szCs w:val="21"/>
          <w:lang w:val="zh-CN"/>
        </w:rPr>
        <w:t>（一）供应商直接或者间接从采购人或者采购代理机构处获得其他供应商的相关情况并修改其投标文件或者响应文件；</w:t>
      </w:r>
    </w:p>
    <w:p>
      <w:pPr>
        <w:pStyle w:val="17"/>
        <w:adjustRightInd w:val="0"/>
        <w:snapToGrid w:val="0"/>
        <w:spacing w:before="0" w:beforeAutospacing="0" w:after="0" w:afterAutospacing="0" w:line="360" w:lineRule="auto"/>
        <w:ind w:firstLine="420" w:firstLineChars="200"/>
        <w:rPr>
          <w:rFonts w:hint="eastAsia"/>
          <w:color w:val="auto"/>
          <w:sz w:val="21"/>
          <w:szCs w:val="21"/>
          <w:lang w:val="zh-CN"/>
        </w:rPr>
      </w:pPr>
      <w:r>
        <w:rPr>
          <w:rFonts w:hint="eastAsia"/>
          <w:color w:val="auto"/>
          <w:sz w:val="21"/>
          <w:szCs w:val="21"/>
          <w:lang w:val="zh-CN"/>
        </w:rPr>
        <w:t>（二）供应商按照采购人或者采购代理机构的授意撤换、修改投标文件或者响应文件；</w:t>
      </w:r>
    </w:p>
    <w:p>
      <w:pPr>
        <w:pStyle w:val="17"/>
        <w:adjustRightInd w:val="0"/>
        <w:snapToGrid w:val="0"/>
        <w:spacing w:before="0" w:beforeAutospacing="0" w:after="0" w:afterAutospacing="0" w:line="360" w:lineRule="auto"/>
        <w:ind w:firstLine="420" w:firstLineChars="200"/>
        <w:rPr>
          <w:rFonts w:hint="eastAsia"/>
          <w:color w:val="auto"/>
          <w:sz w:val="21"/>
          <w:szCs w:val="21"/>
          <w:lang w:val="zh-CN"/>
        </w:rPr>
      </w:pPr>
      <w:r>
        <w:rPr>
          <w:rFonts w:hint="eastAsia"/>
          <w:color w:val="auto"/>
          <w:sz w:val="21"/>
          <w:szCs w:val="21"/>
          <w:lang w:val="zh-CN"/>
        </w:rPr>
        <w:t>（三）供应商之间协商报价、技术方案等投标文件或者响应文件的实质性内容；</w:t>
      </w:r>
    </w:p>
    <w:p>
      <w:pPr>
        <w:pStyle w:val="17"/>
        <w:adjustRightInd w:val="0"/>
        <w:snapToGrid w:val="0"/>
        <w:spacing w:before="0" w:beforeAutospacing="0" w:after="0" w:afterAutospacing="0" w:line="360" w:lineRule="auto"/>
        <w:ind w:firstLine="420" w:firstLineChars="200"/>
        <w:rPr>
          <w:rFonts w:hint="eastAsia"/>
          <w:color w:val="auto"/>
          <w:sz w:val="21"/>
          <w:szCs w:val="21"/>
          <w:lang w:val="zh-CN"/>
        </w:rPr>
      </w:pPr>
      <w:r>
        <w:rPr>
          <w:rFonts w:hint="eastAsia"/>
          <w:color w:val="auto"/>
          <w:sz w:val="21"/>
          <w:szCs w:val="21"/>
          <w:lang w:val="zh-CN"/>
        </w:rPr>
        <w:t>（四）属于同一集团、协会、商会等组织成员的供应商按照该组织要求协同参加采购活动；</w:t>
      </w:r>
    </w:p>
    <w:p>
      <w:pPr>
        <w:pStyle w:val="17"/>
        <w:adjustRightInd w:val="0"/>
        <w:snapToGrid w:val="0"/>
        <w:spacing w:before="0" w:beforeAutospacing="0" w:after="0" w:afterAutospacing="0" w:line="360" w:lineRule="auto"/>
        <w:ind w:firstLine="420" w:firstLineChars="200"/>
        <w:rPr>
          <w:rFonts w:hint="eastAsia"/>
          <w:color w:val="auto"/>
          <w:sz w:val="21"/>
          <w:szCs w:val="21"/>
          <w:lang w:val="zh-CN"/>
        </w:rPr>
      </w:pPr>
      <w:r>
        <w:rPr>
          <w:rFonts w:hint="eastAsia"/>
          <w:color w:val="auto"/>
          <w:sz w:val="21"/>
          <w:szCs w:val="21"/>
          <w:lang w:val="zh-CN"/>
        </w:rPr>
        <w:t>（五）供应商之间事先约定由某一特定供应商中标、成交；</w:t>
      </w:r>
    </w:p>
    <w:p>
      <w:pPr>
        <w:pStyle w:val="17"/>
        <w:adjustRightInd w:val="0"/>
        <w:snapToGrid w:val="0"/>
        <w:spacing w:before="0" w:beforeAutospacing="0" w:after="0" w:afterAutospacing="0" w:line="360" w:lineRule="auto"/>
        <w:ind w:firstLine="420" w:firstLineChars="200"/>
        <w:rPr>
          <w:rFonts w:hint="eastAsia"/>
          <w:color w:val="auto"/>
          <w:sz w:val="21"/>
          <w:szCs w:val="21"/>
          <w:lang w:val="zh-CN"/>
        </w:rPr>
      </w:pPr>
      <w:r>
        <w:rPr>
          <w:rFonts w:hint="eastAsia"/>
          <w:color w:val="auto"/>
          <w:sz w:val="21"/>
          <w:szCs w:val="21"/>
          <w:lang w:val="zh-CN"/>
        </w:rPr>
        <w:t>（六）供应商之间商定部分供应商放弃参加采购活动或者放弃中标、成交；</w:t>
      </w:r>
    </w:p>
    <w:p>
      <w:pPr>
        <w:pStyle w:val="17"/>
        <w:adjustRightInd w:val="0"/>
        <w:snapToGrid w:val="0"/>
        <w:spacing w:before="0" w:beforeAutospacing="0" w:after="0" w:afterAutospacing="0" w:line="360" w:lineRule="auto"/>
        <w:ind w:firstLine="420" w:firstLineChars="200"/>
        <w:rPr>
          <w:color w:val="auto"/>
          <w:sz w:val="21"/>
          <w:szCs w:val="21"/>
          <w:lang w:val="zh-CN"/>
        </w:rPr>
      </w:pPr>
      <w:r>
        <w:rPr>
          <w:rFonts w:hint="eastAsia"/>
          <w:color w:val="auto"/>
          <w:sz w:val="21"/>
          <w:szCs w:val="21"/>
          <w:lang w:val="zh-CN"/>
        </w:rPr>
        <w:t>（七）供应商与采购人或者采购代理机构之间、供应商相互之间，为谋求特定供应商中标、成交或者排斥其他供应商的其他串通行为。</w:t>
      </w:r>
    </w:p>
    <w:p>
      <w:pPr>
        <w:adjustRightInd w:val="0"/>
        <w:snapToGrid w:val="0"/>
        <w:spacing w:line="360" w:lineRule="auto"/>
        <w:rPr>
          <w:rFonts w:hint="eastAsia" w:ascii="黑体" w:hAnsi="宋体" w:eastAsia="黑体"/>
          <w:color w:val="auto"/>
          <w:sz w:val="24"/>
        </w:rPr>
      </w:pPr>
      <w:r>
        <w:rPr>
          <w:rFonts w:hint="eastAsia" w:ascii="黑体" w:hAnsi="宋体" w:eastAsia="黑体"/>
          <w:color w:val="auto"/>
          <w:sz w:val="24"/>
        </w:rPr>
        <w:t>六、成交结果信息公布与授予合同</w:t>
      </w:r>
    </w:p>
    <w:p>
      <w:pPr>
        <w:adjustRightInd w:val="0"/>
        <w:snapToGrid w:val="0"/>
        <w:spacing w:line="360" w:lineRule="auto"/>
        <w:rPr>
          <w:rFonts w:hint="eastAsia" w:ascii="宋体" w:hAnsi="宋体"/>
          <w:b/>
          <w:bCs/>
          <w:color w:val="auto"/>
          <w:szCs w:val="21"/>
        </w:rPr>
      </w:pPr>
      <w:r>
        <w:rPr>
          <w:rFonts w:hint="eastAsia" w:ascii="宋体" w:hAnsi="宋体"/>
          <w:b/>
          <w:bCs/>
          <w:color w:val="auto"/>
          <w:szCs w:val="21"/>
        </w:rPr>
        <w:t>37.成交信息的公布</w:t>
      </w:r>
    </w:p>
    <w:p>
      <w:pPr>
        <w:pStyle w:val="11"/>
        <w:adjustRightInd w:val="0"/>
        <w:snapToGrid w:val="0"/>
        <w:spacing w:line="360" w:lineRule="auto"/>
        <w:ind w:firstLine="420" w:firstLineChars="200"/>
        <w:rPr>
          <w:rFonts w:hint="eastAsia" w:hAnsi="宋体"/>
          <w:color w:val="auto"/>
        </w:rPr>
      </w:pPr>
      <w:r>
        <w:rPr>
          <w:rFonts w:hint="eastAsia" w:hAnsi="宋体"/>
          <w:color w:val="auto"/>
        </w:rPr>
        <w:t>37.1成交供应商确定后2个工作日内，成交结果信息将在</w:t>
      </w:r>
      <w:r>
        <w:rPr>
          <w:rFonts w:hint="eastAsia" w:hAnsi="宋体"/>
          <w:b/>
          <w:color w:val="auto"/>
        </w:rPr>
        <w:t>磋商须知前附表</w:t>
      </w:r>
      <w:r>
        <w:rPr>
          <w:rFonts w:hint="eastAsia" w:hAnsi="宋体"/>
          <w:color w:val="auto"/>
        </w:rPr>
        <w:t>指定的媒体上公布。</w:t>
      </w:r>
    </w:p>
    <w:p>
      <w:pPr>
        <w:adjustRightInd w:val="0"/>
        <w:snapToGrid w:val="0"/>
        <w:spacing w:line="360" w:lineRule="auto"/>
        <w:rPr>
          <w:rFonts w:hint="eastAsia" w:ascii="宋体" w:hAnsi="宋体"/>
          <w:b/>
          <w:bCs/>
          <w:color w:val="auto"/>
          <w:szCs w:val="21"/>
        </w:rPr>
      </w:pPr>
      <w:r>
        <w:rPr>
          <w:rFonts w:hint="eastAsia" w:ascii="宋体" w:hAnsi="宋体"/>
          <w:b/>
          <w:bCs/>
          <w:color w:val="auto"/>
          <w:szCs w:val="21"/>
        </w:rPr>
        <w:t>38.询问及质疑</w:t>
      </w:r>
    </w:p>
    <w:p>
      <w:pPr>
        <w:adjustRightInd w:val="0"/>
        <w:snapToGrid w:val="0"/>
        <w:spacing w:line="360" w:lineRule="auto"/>
        <w:ind w:firstLine="420" w:firstLineChars="200"/>
        <w:jc w:val="left"/>
        <w:rPr>
          <w:rFonts w:hint="eastAsia" w:hAnsi="宋体"/>
          <w:color w:val="auto"/>
        </w:rPr>
      </w:pPr>
      <w:r>
        <w:rPr>
          <w:rFonts w:hint="eastAsia" w:ascii="宋体" w:hAnsi="宋体"/>
          <w:color w:val="auto"/>
          <w:szCs w:val="21"/>
        </w:rPr>
        <w:t>38.1供应商对采购活动事项有疑问的，可以向采购人或采购代理机构提出询问。</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38.2供应商若认为磋商文件、采购过程和成交结果使自己的权益受到损害，可以按法律、行政法规及湖南省财政厅规范性文件规定向采购人或采购代理机构提出质疑。</w:t>
      </w:r>
    </w:p>
    <w:p>
      <w:pPr>
        <w:adjustRightInd w:val="0"/>
        <w:snapToGrid w:val="0"/>
        <w:spacing w:line="360" w:lineRule="auto"/>
        <w:rPr>
          <w:rFonts w:hint="eastAsia" w:ascii="宋体" w:hAnsi="宋体"/>
          <w:b/>
          <w:bCs/>
          <w:color w:val="auto"/>
          <w:szCs w:val="21"/>
        </w:rPr>
      </w:pPr>
      <w:r>
        <w:rPr>
          <w:rFonts w:hint="eastAsia" w:ascii="宋体" w:hAnsi="宋体"/>
          <w:b/>
          <w:bCs/>
          <w:color w:val="auto"/>
          <w:szCs w:val="21"/>
        </w:rPr>
        <w:t>39.成交通知</w:t>
      </w:r>
    </w:p>
    <w:p>
      <w:pPr>
        <w:pStyle w:val="11"/>
        <w:adjustRightInd w:val="0"/>
        <w:snapToGrid w:val="0"/>
        <w:spacing w:line="360" w:lineRule="auto"/>
        <w:ind w:firstLine="420" w:firstLineChars="200"/>
        <w:rPr>
          <w:rFonts w:hint="eastAsia" w:hAnsi="宋体"/>
          <w:color w:val="auto"/>
        </w:rPr>
      </w:pPr>
      <w:r>
        <w:rPr>
          <w:rFonts w:hint="eastAsia" w:hAnsi="宋体"/>
          <w:color w:val="auto"/>
        </w:rPr>
        <w:t>39.1成交供应商确定后，采购人或采购代理机构将以书面形式向成交供应商发出成交通知书。成交通知书对采购人和成交供应商具有同等法律效力。</w:t>
      </w:r>
    </w:p>
    <w:p>
      <w:pPr>
        <w:pStyle w:val="11"/>
        <w:adjustRightInd w:val="0"/>
        <w:snapToGrid w:val="0"/>
        <w:spacing w:line="360" w:lineRule="auto"/>
        <w:ind w:firstLine="420" w:firstLineChars="200"/>
        <w:rPr>
          <w:rFonts w:hint="eastAsia" w:hAnsi="宋体"/>
          <w:color w:val="auto"/>
        </w:rPr>
      </w:pPr>
      <w:r>
        <w:rPr>
          <w:rFonts w:hint="eastAsia" w:hAnsi="宋体"/>
          <w:color w:val="auto"/>
        </w:rPr>
        <w:t>39.2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hint="eastAsia" w:ascii="宋体" w:hAnsi="宋体"/>
          <w:color w:val="auto"/>
          <w:szCs w:val="21"/>
        </w:rPr>
      </w:pPr>
      <w:r>
        <w:rPr>
          <w:rFonts w:hint="eastAsia" w:ascii="宋体" w:hAnsi="宋体" w:cs="宋体"/>
          <w:color w:val="auto"/>
          <w:kern w:val="0"/>
          <w:szCs w:val="21"/>
        </w:rPr>
        <w:t xml:space="preserve">39.3 </w:t>
      </w:r>
      <w:r>
        <w:rPr>
          <w:rFonts w:hint="eastAsia" w:ascii="宋体" w:hAnsi="宋体"/>
          <w:color w:val="auto"/>
          <w:szCs w:val="21"/>
        </w:rPr>
        <w:t>成交供应商在收到采购代理机构的成交通知书后10日内，应按照</w:t>
      </w:r>
      <w:r>
        <w:rPr>
          <w:rFonts w:hint="eastAsia" w:ascii="宋体" w:hAnsi="宋体"/>
          <w:b/>
          <w:color w:val="auto"/>
          <w:szCs w:val="21"/>
        </w:rPr>
        <w:t>磋商须知前附表</w:t>
      </w:r>
      <w:r>
        <w:rPr>
          <w:rFonts w:hint="eastAsia" w:ascii="宋体" w:hAnsi="宋体"/>
          <w:color w:val="auto"/>
          <w:szCs w:val="21"/>
        </w:rPr>
        <w:t>的规定，向采购人提交履约担保。联合体成交的，履约担保由联合体各方或联合体中牵头人的名义提交。</w:t>
      </w:r>
    </w:p>
    <w:p>
      <w:pPr>
        <w:pStyle w:val="11"/>
        <w:adjustRightInd w:val="0"/>
        <w:snapToGrid w:val="0"/>
        <w:spacing w:line="360" w:lineRule="auto"/>
        <w:ind w:firstLine="420" w:firstLineChars="200"/>
        <w:rPr>
          <w:rFonts w:hint="eastAsia" w:hAnsi="宋体"/>
          <w:color w:val="auto"/>
        </w:rPr>
      </w:pPr>
      <w:r>
        <w:rPr>
          <w:rFonts w:hint="eastAsia" w:hAnsi="宋体"/>
          <w:color w:val="auto"/>
        </w:rPr>
        <w:t>39.4 成交供应商</w:t>
      </w:r>
      <w:r>
        <w:rPr>
          <w:rFonts w:hint="eastAsia" w:hAnsi="宋体"/>
          <w:color w:val="auto"/>
          <w:spacing w:val="4"/>
        </w:rPr>
        <w:t>没有按照本章第39.3</w:t>
      </w:r>
      <w:r>
        <w:rPr>
          <w:rFonts w:hint="eastAsia" w:hAnsi="宋体" w:cs="宋体"/>
          <w:color w:val="auto"/>
          <w:kern w:val="0"/>
          <w:lang w:val="zh-CN"/>
        </w:rPr>
        <w:t>款</w:t>
      </w:r>
      <w:r>
        <w:rPr>
          <w:rFonts w:hint="eastAsia" w:hAnsi="宋体"/>
          <w:color w:val="auto"/>
          <w:spacing w:val="4"/>
        </w:rPr>
        <w:t>规定</w:t>
      </w:r>
      <w:r>
        <w:rPr>
          <w:rFonts w:hint="eastAsia" w:hAnsi="宋体"/>
          <w:color w:val="auto"/>
        </w:rPr>
        <w:t>提交履约担保的</w:t>
      </w:r>
      <w:r>
        <w:rPr>
          <w:rFonts w:hint="eastAsia" w:hAnsi="宋体"/>
          <w:color w:val="auto"/>
          <w:spacing w:val="4"/>
        </w:rPr>
        <w:t>，视为放弃</w:t>
      </w:r>
      <w:r>
        <w:rPr>
          <w:rFonts w:hint="eastAsia" w:hAnsi="宋体"/>
          <w:color w:val="auto"/>
        </w:rPr>
        <w:t>成交资格</w:t>
      </w:r>
      <w:r>
        <w:rPr>
          <w:rFonts w:hint="eastAsia" w:hAnsi="宋体"/>
          <w:color w:val="auto"/>
          <w:spacing w:val="4"/>
        </w:rPr>
        <w:t>，</w:t>
      </w:r>
      <w:r>
        <w:rPr>
          <w:rFonts w:hint="eastAsia" w:hAnsi="宋体"/>
          <w:color w:val="auto"/>
          <w:spacing w:val="2"/>
        </w:rPr>
        <w:t>其保证金不予退还。</w:t>
      </w:r>
    </w:p>
    <w:p>
      <w:pPr>
        <w:adjustRightInd w:val="0"/>
        <w:snapToGrid w:val="0"/>
        <w:spacing w:line="360" w:lineRule="auto"/>
        <w:rPr>
          <w:rFonts w:hint="eastAsia" w:ascii="宋体" w:hAnsi="宋体"/>
          <w:b/>
          <w:bCs/>
          <w:color w:val="auto"/>
          <w:szCs w:val="21"/>
        </w:rPr>
      </w:pPr>
      <w:r>
        <w:rPr>
          <w:rFonts w:hint="eastAsia" w:ascii="宋体" w:hAnsi="宋体"/>
          <w:b/>
          <w:bCs/>
          <w:color w:val="auto"/>
          <w:szCs w:val="21"/>
        </w:rPr>
        <w:t>40.签订合同</w:t>
      </w:r>
    </w:p>
    <w:p>
      <w:pPr>
        <w:pStyle w:val="11"/>
        <w:adjustRightInd w:val="0"/>
        <w:snapToGrid w:val="0"/>
        <w:spacing w:line="360" w:lineRule="auto"/>
        <w:ind w:firstLine="420" w:firstLineChars="200"/>
        <w:rPr>
          <w:rFonts w:hint="eastAsia" w:hAnsi="宋体"/>
          <w:color w:val="auto"/>
        </w:rPr>
      </w:pPr>
      <w:r>
        <w:rPr>
          <w:rFonts w:hint="eastAsia" w:hAnsi="宋体"/>
          <w:color w:val="auto"/>
        </w:rPr>
        <w:t>40.1成交供应商应当在成交通知书发出之日起30日内与采购人签订采购合同。</w:t>
      </w:r>
    </w:p>
    <w:p>
      <w:pPr>
        <w:pStyle w:val="11"/>
        <w:adjustRightInd w:val="0"/>
        <w:snapToGrid w:val="0"/>
        <w:spacing w:line="360" w:lineRule="auto"/>
        <w:ind w:firstLine="420" w:firstLineChars="200"/>
        <w:rPr>
          <w:rFonts w:hint="eastAsia" w:hAnsi="宋体"/>
          <w:color w:val="auto"/>
        </w:rPr>
      </w:pPr>
      <w:r>
        <w:rPr>
          <w:rFonts w:hint="eastAsia" w:hAnsi="宋体"/>
          <w:color w:val="auto"/>
        </w:rPr>
        <w:t>40.2磋商文件、成交供应商的响应文件等均为签订采购合同的依据。</w:t>
      </w:r>
    </w:p>
    <w:p>
      <w:pPr>
        <w:pStyle w:val="11"/>
        <w:adjustRightInd w:val="0"/>
        <w:snapToGrid w:val="0"/>
        <w:spacing w:line="360" w:lineRule="auto"/>
        <w:ind w:firstLine="420" w:firstLineChars="200"/>
        <w:rPr>
          <w:rFonts w:hAnsi="宋体"/>
          <w:color w:val="auto"/>
        </w:rPr>
      </w:pPr>
      <w:r>
        <w:rPr>
          <w:rFonts w:hint="eastAsia" w:hAnsi="宋体"/>
          <w:color w:val="auto"/>
        </w:rPr>
        <w:t>40.3 成交供应商应当按照合同约定履行义务。成交供应商不得向他人转让成交项目，也不得将成交项目分包后分别向他人转让。</w:t>
      </w:r>
    </w:p>
    <w:p>
      <w:pPr>
        <w:pStyle w:val="11"/>
        <w:adjustRightInd w:val="0"/>
        <w:snapToGrid w:val="0"/>
        <w:spacing w:line="360" w:lineRule="auto"/>
        <w:ind w:firstLine="420" w:firstLineChars="200"/>
        <w:rPr>
          <w:rFonts w:hint="eastAsia" w:hAnsi="宋体"/>
          <w:color w:val="auto"/>
        </w:rPr>
      </w:pPr>
      <w:r>
        <w:rPr>
          <w:rFonts w:hint="eastAsia" w:hAnsi="宋体"/>
          <w:color w:val="auto"/>
        </w:rPr>
        <w:t>40.4 成交供应商有下列情形之一的，责令限期改正，情节严重的，列入不良行为记录名单，在1至3年内禁止参加采购活动，并予以通报：</w:t>
      </w:r>
    </w:p>
    <w:p>
      <w:pPr>
        <w:pStyle w:val="11"/>
        <w:adjustRightInd w:val="0"/>
        <w:snapToGrid w:val="0"/>
        <w:spacing w:line="360" w:lineRule="auto"/>
        <w:ind w:firstLine="420" w:firstLineChars="200"/>
        <w:rPr>
          <w:rFonts w:hint="eastAsia" w:hAnsi="宋体"/>
          <w:color w:val="auto"/>
        </w:rPr>
      </w:pPr>
      <w:r>
        <w:rPr>
          <w:rFonts w:hint="eastAsia" w:hAnsi="宋体"/>
          <w:color w:val="auto"/>
        </w:rPr>
        <w:t>（一）成交后无正当理由不与采购人签订合同的；</w:t>
      </w:r>
    </w:p>
    <w:p>
      <w:pPr>
        <w:pStyle w:val="11"/>
        <w:adjustRightInd w:val="0"/>
        <w:snapToGrid w:val="0"/>
        <w:spacing w:line="360" w:lineRule="auto"/>
        <w:ind w:firstLine="420" w:firstLineChars="200"/>
        <w:rPr>
          <w:rFonts w:hint="eastAsia" w:hAnsi="宋体"/>
          <w:color w:val="auto"/>
        </w:rPr>
      </w:pPr>
      <w:r>
        <w:rPr>
          <w:rFonts w:hint="eastAsia" w:hAnsi="宋体"/>
          <w:color w:val="auto"/>
        </w:rPr>
        <w:t>（二）未按照采购文件确定的事项签订采购合同，或者与采购人另行订立背离合同实质性内容的协议的；</w:t>
      </w:r>
    </w:p>
    <w:p>
      <w:pPr>
        <w:pStyle w:val="11"/>
        <w:adjustRightInd w:val="0"/>
        <w:snapToGrid w:val="0"/>
        <w:spacing w:line="360" w:lineRule="auto"/>
        <w:ind w:firstLine="420" w:firstLineChars="200"/>
        <w:rPr>
          <w:rFonts w:hint="eastAsia" w:hAnsi="宋体"/>
          <w:color w:val="auto"/>
        </w:rPr>
      </w:pPr>
      <w:r>
        <w:rPr>
          <w:rFonts w:hint="eastAsia" w:hAnsi="宋体"/>
          <w:color w:val="auto"/>
        </w:rPr>
        <w:t>（三）拒绝履行合同义务的；</w:t>
      </w:r>
    </w:p>
    <w:p>
      <w:pPr>
        <w:pStyle w:val="11"/>
        <w:adjustRightInd w:val="0"/>
        <w:snapToGrid w:val="0"/>
        <w:spacing w:line="360" w:lineRule="auto"/>
        <w:ind w:firstLine="420" w:firstLineChars="200"/>
        <w:rPr>
          <w:rFonts w:hint="eastAsia" w:hAnsi="宋体" w:cs="宋体"/>
          <w:color w:val="auto"/>
          <w:kern w:val="0"/>
        </w:rPr>
      </w:pPr>
      <w:r>
        <w:rPr>
          <w:rFonts w:hint="eastAsia" w:hAnsi="宋体"/>
          <w:color w:val="auto"/>
        </w:rPr>
        <w:t>（四）</w:t>
      </w:r>
      <w:r>
        <w:rPr>
          <w:rFonts w:hint="eastAsia" w:hAnsi="宋体" w:cs="宋体"/>
          <w:color w:val="auto"/>
          <w:kern w:val="0"/>
        </w:rPr>
        <w:t>违反法律、规章、规范性文件规定的。</w:t>
      </w:r>
    </w:p>
    <w:p>
      <w:pPr>
        <w:adjustRightInd w:val="0"/>
        <w:snapToGrid w:val="0"/>
        <w:spacing w:line="360" w:lineRule="auto"/>
        <w:rPr>
          <w:rFonts w:hint="eastAsia" w:ascii="黑体" w:hAnsi="宋体" w:eastAsia="黑体"/>
          <w:color w:val="auto"/>
          <w:sz w:val="24"/>
        </w:rPr>
      </w:pPr>
      <w:r>
        <w:rPr>
          <w:rFonts w:hint="eastAsia" w:ascii="黑体" w:hAnsi="宋体" w:eastAsia="黑体"/>
          <w:color w:val="auto"/>
          <w:sz w:val="24"/>
        </w:rPr>
        <w:t>七、其他规定</w:t>
      </w:r>
    </w:p>
    <w:p>
      <w:pPr>
        <w:adjustRightInd w:val="0"/>
        <w:snapToGrid w:val="0"/>
        <w:spacing w:line="360" w:lineRule="auto"/>
        <w:jc w:val="left"/>
        <w:rPr>
          <w:rFonts w:hint="eastAsia" w:ascii="宋体" w:hAnsi="宋体"/>
          <w:b/>
          <w:color w:val="auto"/>
          <w:szCs w:val="21"/>
        </w:rPr>
      </w:pPr>
      <w:r>
        <w:rPr>
          <w:rFonts w:hint="eastAsia" w:ascii="宋体" w:hAnsi="宋体"/>
          <w:b/>
          <w:color w:val="auto"/>
          <w:szCs w:val="21"/>
        </w:rPr>
        <w:t>41.1采购代理服务费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41.1采购代理机构应按</w:t>
      </w:r>
      <w:r>
        <w:rPr>
          <w:rFonts w:hint="eastAsia" w:ascii="宋体" w:hAnsi="宋体"/>
          <w:b/>
          <w:color w:val="auto"/>
          <w:szCs w:val="21"/>
        </w:rPr>
        <w:t>磋商须知前附表</w:t>
      </w:r>
      <w:r>
        <w:rPr>
          <w:rFonts w:hint="eastAsia" w:ascii="宋体" w:hAnsi="宋体"/>
          <w:color w:val="auto"/>
          <w:szCs w:val="21"/>
        </w:rPr>
        <w:t>规定收取采购代理服务费。</w:t>
      </w:r>
    </w:p>
    <w:p>
      <w:pPr>
        <w:tabs>
          <w:tab w:val="left" w:pos="420"/>
          <w:tab w:val="left" w:pos="7560"/>
          <w:tab w:val="left" w:pos="7740"/>
          <w:tab w:val="left" w:pos="7920"/>
        </w:tabs>
        <w:adjustRightInd w:val="0"/>
        <w:snapToGrid w:val="0"/>
        <w:spacing w:line="360" w:lineRule="auto"/>
        <w:rPr>
          <w:rFonts w:hint="eastAsia" w:hAnsi="宋体"/>
          <w:b/>
          <w:color w:val="auto"/>
        </w:rPr>
      </w:pPr>
      <w:r>
        <w:rPr>
          <w:rFonts w:hint="eastAsia" w:ascii="宋体" w:hAnsi="宋体"/>
          <w:b/>
          <w:color w:val="auto"/>
          <w:szCs w:val="21"/>
        </w:rPr>
        <w:t>42.</w:t>
      </w:r>
      <w:r>
        <w:rPr>
          <w:rFonts w:hint="eastAsia" w:hAnsi="宋体"/>
          <w:b/>
          <w:color w:val="auto"/>
        </w:rPr>
        <w:t xml:space="preserve"> 其他规定</w:t>
      </w: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color w:val="auto"/>
          <w:szCs w:val="21"/>
        </w:rPr>
      </w:pPr>
      <w:r>
        <w:rPr>
          <w:rFonts w:hint="eastAsia" w:ascii="宋体" w:hAnsi="宋体"/>
          <w:color w:val="auto"/>
        </w:rPr>
        <w:t>42.1</w:t>
      </w:r>
      <w:r>
        <w:rPr>
          <w:rFonts w:hint="eastAsia" w:ascii="宋体" w:hAnsi="宋体"/>
          <w:color w:val="auto"/>
          <w:szCs w:val="21"/>
        </w:rPr>
        <w:t>磋商文件</w:t>
      </w:r>
      <w:r>
        <w:rPr>
          <w:rFonts w:hint="eastAsia" w:hAnsi="宋体"/>
          <w:color w:val="auto"/>
        </w:rPr>
        <w:t>的其他规定</w:t>
      </w:r>
      <w:r>
        <w:rPr>
          <w:rFonts w:hint="eastAsia" w:ascii="宋体" w:hAnsi="宋体"/>
          <w:color w:val="auto"/>
          <w:szCs w:val="21"/>
        </w:rPr>
        <w:t>见</w:t>
      </w:r>
      <w:r>
        <w:rPr>
          <w:rFonts w:hint="eastAsia" w:ascii="宋体" w:hAnsi="宋体"/>
          <w:b/>
          <w:color w:val="auto"/>
          <w:szCs w:val="21"/>
        </w:rPr>
        <w:t>磋商须知前附表</w:t>
      </w:r>
      <w:r>
        <w:rPr>
          <w:rFonts w:hint="eastAsia" w:ascii="宋体" w:hAnsi="宋体"/>
          <w:color w:val="auto"/>
          <w:szCs w:val="21"/>
        </w:rPr>
        <w:t>。</w:t>
      </w: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对列入失信被执行人、重大税收违法案件当事人名单、采购严重违法失信行为记录名单的供应商，将拒绝其参与采购活动。两个以上的自然人、法人或者其他组织组成一个联合体，以一个供应商的身份共同参加采购活动的，应当对所有联合体成员进行信用记录查询，联合体成员存在不良信用记录的，视同联合体存在不良信用记录。</w:t>
      </w: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2、信用信息查询的查询渠道：“信用中国”网站（www.creditchina.gov.cn）、</w:t>
      </w: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3、信用信息查询的截止时点：至本项目投标截止时间止（或至本项目响应文件提交截止时间止）。</w:t>
      </w: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4、信用信息查询记录证据留存的具体方式：查询记录的网页打印件。</w:t>
      </w: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5、信用信息的使用规则：对列入失信被执行人、重大税收违法案件当事人名单、采购严重违法失信行为记录名单的供应商，将拒绝其参与采购活动。</w:t>
      </w: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6、供应商应保持公开、公平的原则进行投标，如磋商小组认为供应商提交的报价有恶意中标的嫌疑，磋商小组有权让供应商提交成本价的组成，如在规定时间内供应商不能提交成本价的组成或提交的成本价明显低于市场平均值，磋商小组有权认为供应商属于恶性竞争，有权认定其为无效响应。</w:t>
      </w:r>
    </w:p>
    <w:p>
      <w:pPr>
        <w:adjustRightInd w:val="0"/>
        <w:snapToGrid w:val="0"/>
        <w:spacing w:beforeLines="50" w:line="360" w:lineRule="auto"/>
        <w:jc w:val="center"/>
        <w:rPr>
          <w:rFonts w:hint="eastAsia" w:ascii="黑体" w:eastAsia="黑体"/>
          <w:b/>
          <w:color w:val="auto"/>
          <w:sz w:val="32"/>
          <w:szCs w:val="32"/>
        </w:rPr>
      </w:pPr>
    </w:p>
    <w:p>
      <w:pPr>
        <w:adjustRightInd w:val="0"/>
        <w:snapToGrid w:val="0"/>
        <w:spacing w:beforeLines="50" w:line="360" w:lineRule="auto"/>
        <w:ind w:left="420" w:leftChars="200"/>
        <w:jc w:val="center"/>
        <w:rPr>
          <w:rFonts w:hint="eastAsia" w:ascii="黑体" w:hAnsi="华文中宋" w:eastAsia="黑体"/>
          <w:b/>
          <w:bCs/>
          <w:color w:val="auto"/>
          <w:sz w:val="32"/>
          <w:szCs w:val="32"/>
        </w:rPr>
      </w:pPr>
      <w:r>
        <w:rPr>
          <w:rFonts w:hint="eastAsia" w:ascii="黑体" w:eastAsia="黑体"/>
          <w:b/>
          <w:color w:val="auto"/>
          <w:sz w:val="32"/>
          <w:szCs w:val="32"/>
        </w:rPr>
        <w:t xml:space="preserve">第三章  </w:t>
      </w:r>
      <w:r>
        <w:rPr>
          <w:rFonts w:hint="eastAsia" w:ascii="黑体" w:hAnsi="华文中宋" w:eastAsia="黑体"/>
          <w:b/>
          <w:bCs/>
          <w:color w:val="auto"/>
          <w:sz w:val="32"/>
          <w:szCs w:val="32"/>
        </w:rPr>
        <w:t>采购合同格式</w:t>
      </w:r>
    </w:p>
    <w:p>
      <w:pPr>
        <w:rPr>
          <w:rFonts w:hint="eastAsia" w:ascii="黑体" w:hAnsi="宋体" w:eastAsia="黑体"/>
          <w:color w:val="auto"/>
          <w:sz w:val="30"/>
          <w:szCs w:val="30"/>
        </w:rPr>
      </w:pPr>
      <w:r>
        <w:rPr>
          <w:rFonts w:hint="eastAsia" w:ascii="黑体" w:eastAsia="黑体"/>
          <w:color w:val="auto"/>
          <w:sz w:val="30"/>
          <w:szCs w:val="30"/>
        </w:rPr>
        <w:t>一、采购合同协议书</w:t>
      </w:r>
    </w:p>
    <w:p>
      <w:pPr>
        <w:jc w:val="center"/>
        <w:rPr>
          <w:rFonts w:ascii="宋体" w:hAnsi="宋体"/>
          <w:color w:val="auto"/>
          <w:sz w:val="24"/>
        </w:rPr>
      </w:pPr>
      <w:r>
        <w:rPr>
          <w:rFonts w:hint="eastAsia" w:ascii="宋体" w:hAnsi="宋体"/>
          <w:color w:val="auto"/>
          <w:sz w:val="24"/>
        </w:rPr>
        <w:t xml:space="preserve">                                  </w:t>
      </w:r>
    </w:p>
    <w:p>
      <w:pPr>
        <w:adjustRightInd w:val="0"/>
        <w:snapToGrid w:val="0"/>
        <w:spacing w:beforeLines="50" w:line="360" w:lineRule="auto"/>
        <w:jc w:val="center"/>
        <w:rPr>
          <w:rFonts w:ascii="宋体" w:hAnsi="宋体"/>
          <w:color w:val="auto"/>
          <w:szCs w:val="21"/>
        </w:rPr>
      </w:pPr>
      <w:r>
        <w:rPr>
          <w:rFonts w:hint="eastAsia" w:ascii="宋体" w:hAnsi="宋体"/>
          <w:color w:val="auto"/>
          <w:szCs w:val="21"/>
        </w:rPr>
        <w:t xml:space="preserve">                                                        采购编号：</w:t>
      </w:r>
      <w:r>
        <w:rPr>
          <w:rFonts w:hint="eastAsia" w:ascii="宋体" w:hAnsi="宋体"/>
          <w:color w:val="auto"/>
          <w:szCs w:val="21"/>
          <w:u w:val="single"/>
        </w:rPr>
        <w:t xml:space="preserve">             </w:t>
      </w:r>
      <w:r>
        <w:rPr>
          <w:rFonts w:ascii="宋体" w:hAnsi="宋体"/>
          <w:color w:val="auto"/>
          <w:szCs w:val="21"/>
        </w:rPr>
        <w:tab/>
      </w:r>
    </w:p>
    <w:p>
      <w:pPr>
        <w:adjustRightInd w:val="0"/>
        <w:snapToGrid w:val="0"/>
        <w:spacing w:beforeLines="50" w:line="360" w:lineRule="auto"/>
        <w:ind w:firstLine="210" w:firstLineChars="100"/>
        <w:rPr>
          <w:rFonts w:hint="eastAsia" w:ascii="宋体" w:hAnsi="宋体"/>
          <w:color w:val="auto"/>
          <w:szCs w:val="21"/>
        </w:rPr>
      </w:pPr>
      <w:r>
        <w:rPr>
          <w:rFonts w:hint="eastAsia" w:ascii="宋体" w:hAnsi="宋体"/>
          <w:color w:val="auto"/>
          <w:szCs w:val="21"/>
        </w:rPr>
        <w:t>采购人（全称）：</w:t>
      </w:r>
      <w:r>
        <w:rPr>
          <w:rFonts w:hint="eastAsia" w:ascii="宋体" w:hAnsi="宋体"/>
          <w:color w:val="auto"/>
          <w:szCs w:val="21"/>
          <w:u w:val="single"/>
        </w:rPr>
        <w:t xml:space="preserve">                             </w:t>
      </w:r>
      <w:r>
        <w:rPr>
          <w:rFonts w:hint="eastAsia" w:ascii="宋体" w:hAnsi="宋体"/>
          <w:color w:val="auto"/>
          <w:szCs w:val="21"/>
        </w:rPr>
        <w:t>（甲方）</w:t>
      </w:r>
    </w:p>
    <w:p>
      <w:pPr>
        <w:adjustRightInd w:val="0"/>
        <w:snapToGrid w:val="0"/>
        <w:spacing w:beforeLines="50" w:line="360" w:lineRule="auto"/>
        <w:ind w:firstLine="210" w:firstLineChars="100"/>
        <w:rPr>
          <w:rFonts w:hint="eastAsia" w:ascii="宋体" w:hAnsi="宋体"/>
          <w:color w:val="auto"/>
          <w:szCs w:val="21"/>
        </w:rPr>
      </w:pPr>
      <w:r>
        <w:rPr>
          <w:rFonts w:hint="eastAsia" w:ascii="宋体" w:hAnsi="宋体"/>
          <w:color w:val="auto"/>
          <w:szCs w:val="21"/>
        </w:rPr>
        <w:t>供应商（全称）：</w:t>
      </w:r>
      <w:r>
        <w:rPr>
          <w:rFonts w:hint="eastAsia" w:ascii="宋体" w:hAnsi="宋体"/>
          <w:color w:val="auto"/>
          <w:szCs w:val="21"/>
          <w:u w:val="single"/>
        </w:rPr>
        <w:t xml:space="preserve">                             </w:t>
      </w:r>
      <w:r>
        <w:rPr>
          <w:rFonts w:hint="eastAsia" w:ascii="宋体" w:hAnsi="宋体"/>
          <w:color w:val="auto"/>
          <w:szCs w:val="21"/>
        </w:rPr>
        <w:t>（乙方）</w:t>
      </w:r>
    </w:p>
    <w:p>
      <w:pPr>
        <w:pStyle w:val="10"/>
        <w:tabs>
          <w:tab w:val="left" w:pos="2715"/>
        </w:tabs>
        <w:adjustRightInd w:val="0"/>
        <w:snapToGrid w:val="0"/>
        <w:spacing w:beforeLines="50"/>
        <w:ind w:firstLine="420" w:firstLineChars="200"/>
        <w:rPr>
          <w:color w:val="auto"/>
          <w:szCs w:val="21"/>
        </w:rPr>
      </w:pPr>
      <w:r>
        <w:rPr>
          <w:rFonts w:hint="eastAsia"/>
          <w:color w:val="auto"/>
          <w:szCs w:val="21"/>
        </w:rPr>
        <w:t>为了保护甲、乙双方合法权益，根据《中华人民共和国合同法》、及其他有关法律、法规、规章，双方签订本合同协议书。</w:t>
      </w:r>
    </w:p>
    <w:p>
      <w:pPr>
        <w:tabs>
          <w:tab w:val="left" w:pos="2760"/>
        </w:tabs>
        <w:adjustRightInd w:val="0"/>
        <w:snapToGrid w:val="0"/>
        <w:spacing w:beforeLines="50" w:line="360" w:lineRule="auto"/>
        <w:ind w:firstLine="422" w:firstLineChars="200"/>
        <w:rPr>
          <w:rFonts w:ascii="宋体" w:hAnsi="宋体"/>
          <w:b/>
          <w:color w:val="auto"/>
          <w:szCs w:val="21"/>
        </w:rPr>
      </w:pPr>
      <w:r>
        <w:rPr>
          <w:rFonts w:hint="eastAsia" w:ascii="宋体" w:hAnsi="宋体"/>
          <w:b/>
          <w:color w:val="auto"/>
          <w:szCs w:val="21"/>
        </w:rPr>
        <w:t>1.项目管理信息</w:t>
      </w:r>
    </w:p>
    <w:p>
      <w:pPr>
        <w:pStyle w:val="10"/>
        <w:adjustRightInd w:val="0"/>
        <w:snapToGrid w:val="0"/>
        <w:spacing w:beforeLines="50"/>
        <w:rPr>
          <w:color w:val="auto"/>
          <w:szCs w:val="21"/>
        </w:rPr>
      </w:pPr>
      <w:r>
        <w:rPr>
          <w:rFonts w:hint="eastAsia"/>
          <w:color w:val="auto"/>
          <w:szCs w:val="21"/>
        </w:rPr>
        <w:t xml:space="preserve">（1）采购方式：  </w:t>
      </w:r>
    </w:p>
    <w:p>
      <w:pPr>
        <w:pStyle w:val="10"/>
        <w:adjustRightInd w:val="0"/>
        <w:snapToGrid w:val="0"/>
        <w:spacing w:beforeLines="50"/>
        <w:rPr>
          <w:color w:val="auto"/>
          <w:szCs w:val="21"/>
        </w:rPr>
      </w:pPr>
      <w:r>
        <w:rPr>
          <w:rFonts w:hint="eastAsia"/>
          <w:color w:val="auto"/>
          <w:szCs w:val="21"/>
        </w:rPr>
        <w:t xml:space="preserve">（2）项目名称：                    </w:t>
      </w:r>
    </w:p>
    <w:p>
      <w:pPr>
        <w:adjustRightInd w:val="0"/>
        <w:snapToGrid w:val="0"/>
        <w:spacing w:beforeLines="50" w:line="360" w:lineRule="auto"/>
        <w:ind w:firstLine="422" w:firstLineChars="200"/>
        <w:rPr>
          <w:rFonts w:ascii="宋体" w:hAnsi="宋体"/>
          <w:b/>
          <w:color w:val="auto"/>
          <w:szCs w:val="21"/>
        </w:rPr>
      </w:pPr>
      <w:r>
        <w:rPr>
          <w:rFonts w:hint="eastAsia" w:ascii="宋体" w:hAnsi="宋体"/>
          <w:b/>
          <w:color w:val="auto"/>
          <w:szCs w:val="21"/>
        </w:rPr>
        <w:t>2.合同标的及金额</w:t>
      </w:r>
    </w:p>
    <w:tbl>
      <w:tblPr>
        <w:tblStyle w:val="19"/>
        <w:tblW w:w="0" w:type="auto"/>
        <w:tblInd w:w="43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507"/>
        <w:gridCol w:w="1730"/>
        <w:gridCol w:w="1201"/>
        <w:gridCol w:w="1202"/>
        <w:gridCol w:w="1201"/>
        <w:gridCol w:w="12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50" w:type="dxa"/>
            <w:noWrap w:val="0"/>
            <w:vAlign w:val="center"/>
          </w:tcPr>
          <w:p>
            <w:pPr>
              <w:adjustRightInd w:val="0"/>
              <w:snapToGrid w:val="0"/>
              <w:spacing w:beforeLines="50" w:line="360" w:lineRule="auto"/>
              <w:jc w:val="center"/>
              <w:rPr>
                <w:rFonts w:ascii="宋体" w:hAnsi="宋体"/>
                <w:color w:val="auto"/>
                <w:szCs w:val="21"/>
              </w:rPr>
            </w:pPr>
            <w:r>
              <w:rPr>
                <w:rFonts w:hint="eastAsia" w:ascii="宋体" w:hAnsi="宋体"/>
                <w:color w:val="auto"/>
                <w:szCs w:val="21"/>
              </w:rPr>
              <w:t>序号</w:t>
            </w:r>
          </w:p>
        </w:tc>
        <w:tc>
          <w:tcPr>
            <w:tcW w:w="1507" w:type="dxa"/>
            <w:noWrap w:val="0"/>
            <w:vAlign w:val="center"/>
          </w:tcPr>
          <w:p>
            <w:pPr>
              <w:adjustRightInd w:val="0"/>
              <w:snapToGrid w:val="0"/>
              <w:spacing w:beforeLines="50" w:line="360" w:lineRule="auto"/>
              <w:jc w:val="center"/>
              <w:rPr>
                <w:rFonts w:ascii="宋体" w:hAnsi="宋体"/>
                <w:color w:val="auto"/>
                <w:szCs w:val="21"/>
              </w:rPr>
            </w:pPr>
            <w:r>
              <w:rPr>
                <w:rFonts w:hint="eastAsia" w:ascii="宋体" w:hAnsi="宋体"/>
                <w:color w:val="auto"/>
                <w:szCs w:val="21"/>
              </w:rPr>
              <w:t>货物名称</w:t>
            </w:r>
          </w:p>
        </w:tc>
        <w:tc>
          <w:tcPr>
            <w:tcW w:w="1730" w:type="dxa"/>
            <w:noWrap w:val="0"/>
            <w:vAlign w:val="center"/>
          </w:tcPr>
          <w:p>
            <w:pPr>
              <w:adjustRightInd w:val="0"/>
              <w:snapToGrid w:val="0"/>
              <w:spacing w:beforeLines="50" w:line="360" w:lineRule="auto"/>
              <w:jc w:val="center"/>
              <w:rPr>
                <w:rFonts w:ascii="宋体" w:hAnsi="宋体"/>
                <w:color w:val="auto"/>
                <w:szCs w:val="21"/>
              </w:rPr>
            </w:pPr>
            <w:r>
              <w:rPr>
                <w:rFonts w:hint="eastAsia" w:ascii="宋体" w:hAnsi="宋体" w:cs="宋体"/>
                <w:color w:val="auto"/>
                <w:szCs w:val="21"/>
              </w:rPr>
              <w:t>型号规格</w:t>
            </w:r>
          </w:p>
        </w:tc>
        <w:tc>
          <w:tcPr>
            <w:tcW w:w="1201" w:type="dxa"/>
            <w:noWrap w:val="0"/>
            <w:vAlign w:val="center"/>
          </w:tcPr>
          <w:p>
            <w:pPr>
              <w:adjustRightInd w:val="0"/>
              <w:snapToGrid w:val="0"/>
              <w:spacing w:beforeLines="50" w:line="360" w:lineRule="auto"/>
              <w:jc w:val="center"/>
              <w:rPr>
                <w:rFonts w:ascii="宋体" w:hAnsi="宋体"/>
                <w:color w:val="auto"/>
                <w:szCs w:val="21"/>
              </w:rPr>
            </w:pPr>
            <w:r>
              <w:rPr>
                <w:rFonts w:hint="eastAsia" w:ascii="宋体" w:hAnsi="宋体"/>
                <w:color w:val="auto"/>
                <w:szCs w:val="21"/>
              </w:rPr>
              <w:t>数量</w:t>
            </w:r>
          </w:p>
        </w:tc>
        <w:tc>
          <w:tcPr>
            <w:tcW w:w="1202" w:type="dxa"/>
            <w:noWrap w:val="0"/>
            <w:vAlign w:val="center"/>
          </w:tcPr>
          <w:p>
            <w:pPr>
              <w:adjustRightInd w:val="0"/>
              <w:snapToGrid w:val="0"/>
              <w:spacing w:beforeLines="50" w:line="360" w:lineRule="auto"/>
              <w:jc w:val="center"/>
              <w:rPr>
                <w:rFonts w:ascii="宋体" w:hAnsi="宋体"/>
                <w:color w:val="auto"/>
                <w:szCs w:val="21"/>
              </w:rPr>
            </w:pPr>
            <w:r>
              <w:rPr>
                <w:rFonts w:hint="eastAsia" w:ascii="宋体" w:hAnsi="宋体"/>
                <w:color w:val="auto"/>
                <w:szCs w:val="21"/>
              </w:rPr>
              <w:t>单价</w:t>
            </w:r>
          </w:p>
        </w:tc>
        <w:tc>
          <w:tcPr>
            <w:tcW w:w="1201" w:type="dxa"/>
            <w:noWrap w:val="0"/>
            <w:vAlign w:val="center"/>
          </w:tcPr>
          <w:p>
            <w:pPr>
              <w:adjustRightInd w:val="0"/>
              <w:snapToGrid w:val="0"/>
              <w:spacing w:beforeLines="50" w:line="360" w:lineRule="auto"/>
              <w:jc w:val="center"/>
              <w:rPr>
                <w:rFonts w:ascii="宋体" w:hAnsi="宋体"/>
                <w:color w:val="auto"/>
                <w:szCs w:val="21"/>
              </w:rPr>
            </w:pPr>
            <w:r>
              <w:rPr>
                <w:rFonts w:hint="eastAsia" w:ascii="宋体" w:hAnsi="宋体"/>
                <w:color w:val="auto"/>
                <w:szCs w:val="21"/>
              </w:rPr>
              <w:t>总价</w:t>
            </w:r>
          </w:p>
        </w:tc>
        <w:tc>
          <w:tcPr>
            <w:tcW w:w="1202" w:type="dxa"/>
            <w:noWrap w:val="0"/>
            <w:vAlign w:val="center"/>
          </w:tcPr>
          <w:p>
            <w:pPr>
              <w:adjustRightInd w:val="0"/>
              <w:snapToGrid w:val="0"/>
              <w:spacing w:beforeLines="50" w:line="360" w:lineRule="auto"/>
              <w:jc w:val="center"/>
              <w:rPr>
                <w:rFonts w:ascii="宋体" w:hAnsi="宋体"/>
                <w:color w:val="auto"/>
                <w:szCs w:val="21"/>
              </w:rPr>
            </w:pPr>
            <w:r>
              <w:rPr>
                <w:rFonts w:hint="eastAsia" w:ascii="宋体" w:hAnsi="宋体"/>
                <w:color w:val="auto"/>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50" w:type="dxa"/>
            <w:noWrap w:val="0"/>
            <w:vAlign w:val="center"/>
          </w:tcPr>
          <w:p>
            <w:pPr>
              <w:adjustRightInd w:val="0"/>
              <w:snapToGrid w:val="0"/>
              <w:spacing w:beforeLines="50" w:line="360" w:lineRule="auto"/>
              <w:jc w:val="center"/>
              <w:rPr>
                <w:rFonts w:ascii="宋体" w:hAnsi="宋体"/>
                <w:color w:val="auto"/>
                <w:szCs w:val="21"/>
              </w:rPr>
            </w:pPr>
          </w:p>
        </w:tc>
        <w:tc>
          <w:tcPr>
            <w:tcW w:w="1507" w:type="dxa"/>
            <w:noWrap w:val="0"/>
            <w:vAlign w:val="center"/>
          </w:tcPr>
          <w:p>
            <w:pPr>
              <w:adjustRightInd w:val="0"/>
              <w:snapToGrid w:val="0"/>
              <w:spacing w:beforeLines="50" w:line="360" w:lineRule="auto"/>
              <w:jc w:val="center"/>
              <w:rPr>
                <w:rFonts w:ascii="宋体" w:hAnsi="宋体"/>
                <w:color w:val="auto"/>
                <w:szCs w:val="21"/>
              </w:rPr>
            </w:pPr>
          </w:p>
        </w:tc>
        <w:tc>
          <w:tcPr>
            <w:tcW w:w="1730" w:type="dxa"/>
            <w:noWrap w:val="0"/>
            <w:vAlign w:val="center"/>
          </w:tcPr>
          <w:p>
            <w:pPr>
              <w:adjustRightInd w:val="0"/>
              <w:snapToGrid w:val="0"/>
              <w:spacing w:beforeLines="50" w:line="360" w:lineRule="auto"/>
              <w:jc w:val="center"/>
              <w:rPr>
                <w:rFonts w:ascii="宋体" w:hAnsi="宋体"/>
                <w:color w:val="auto"/>
                <w:szCs w:val="21"/>
              </w:rPr>
            </w:pPr>
          </w:p>
        </w:tc>
        <w:tc>
          <w:tcPr>
            <w:tcW w:w="1201" w:type="dxa"/>
            <w:noWrap w:val="0"/>
            <w:vAlign w:val="center"/>
          </w:tcPr>
          <w:p>
            <w:pPr>
              <w:adjustRightInd w:val="0"/>
              <w:snapToGrid w:val="0"/>
              <w:spacing w:beforeLines="50" w:line="360" w:lineRule="auto"/>
              <w:jc w:val="center"/>
              <w:rPr>
                <w:rFonts w:ascii="宋体" w:hAnsi="宋体"/>
                <w:color w:val="auto"/>
                <w:szCs w:val="21"/>
              </w:rPr>
            </w:pPr>
          </w:p>
        </w:tc>
        <w:tc>
          <w:tcPr>
            <w:tcW w:w="1202" w:type="dxa"/>
            <w:noWrap w:val="0"/>
            <w:vAlign w:val="center"/>
          </w:tcPr>
          <w:p>
            <w:pPr>
              <w:adjustRightInd w:val="0"/>
              <w:snapToGrid w:val="0"/>
              <w:spacing w:beforeLines="50" w:line="360" w:lineRule="auto"/>
              <w:jc w:val="center"/>
              <w:rPr>
                <w:rFonts w:ascii="宋体" w:hAnsi="宋体"/>
                <w:color w:val="auto"/>
                <w:szCs w:val="21"/>
              </w:rPr>
            </w:pPr>
          </w:p>
        </w:tc>
        <w:tc>
          <w:tcPr>
            <w:tcW w:w="1201" w:type="dxa"/>
            <w:noWrap w:val="0"/>
            <w:vAlign w:val="center"/>
          </w:tcPr>
          <w:p>
            <w:pPr>
              <w:adjustRightInd w:val="0"/>
              <w:snapToGrid w:val="0"/>
              <w:spacing w:beforeLines="50" w:line="360" w:lineRule="auto"/>
              <w:jc w:val="center"/>
              <w:rPr>
                <w:rFonts w:ascii="宋体" w:hAnsi="宋体"/>
                <w:color w:val="auto"/>
                <w:szCs w:val="21"/>
              </w:rPr>
            </w:pPr>
          </w:p>
        </w:tc>
        <w:tc>
          <w:tcPr>
            <w:tcW w:w="1202" w:type="dxa"/>
            <w:noWrap w:val="0"/>
            <w:vAlign w:val="center"/>
          </w:tcPr>
          <w:p>
            <w:pPr>
              <w:adjustRightInd w:val="0"/>
              <w:snapToGrid w:val="0"/>
              <w:spacing w:beforeLines="50" w:line="360" w:lineRule="auto"/>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50" w:type="dxa"/>
            <w:noWrap w:val="0"/>
            <w:vAlign w:val="center"/>
          </w:tcPr>
          <w:p>
            <w:pPr>
              <w:adjustRightInd w:val="0"/>
              <w:snapToGrid w:val="0"/>
              <w:spacing w:beforeLines="50" w:line="360" w:lineRule="auto"/>
              <w:jc w:val="center"/>
              <w:rPr>
                <w:rFonts w:ascii="宋体" w:hAnsi="宋体"/>
                <w:color w:val="auto"/>
                <w:szCs w:val="21"/>
              </w:rPr>
            </w:pPr>
          </w:p>
        </w:tc>
        <w:tc>
          <w:tcPr>
            <w:tcW w:w="1507" w:type="dxa"/>
            <w:noWrap w:val="0"/>
            <w:vAlign w:val="center"/>
          </w:tcPr>
          <w:p>
            <w:pPr>
              <w:adjustRightInd w:val="0"/>
              <w:snapToGrid w:val="0"/>
              <w:spacing w:beforeLines="50" w:line="360" w:lineRule="auto"/>
              <w:jc w:val="center"/>
              <w:rPr>
                <w:rFonts w:ascii="宋体" w:hAnsi="宋体"/>
                <w:color w:val="auto"/>
                <w:szCs w:val="21"/>
              </w:rPr>
            </w:pPr>
          </w:p>
        </w:tc>
        <w:tc>
          <w:tcPr>
            <w:tcW w:w="1730" w:type="dxa"/>
            <w:noWrap w:val="0"/>
            <w:vAlign w:val="center"/>
          </w:tcPr>
          <w:p>
            <w:pPr>
              <w:adjustRightInd w:val="0"/>
              <w:snapToGrid w:val="0"/>
              <w:spacing w:beforeLines="50" w:line="360" w:lineRule="auto"/>
              <w:jc w:val="center"/>
              <w:rPr>
                <w:rFonts w:ascii="宋体" w:hAnsi="宋体"/>
                <w:color w:val="auto"/>
                <w:szCs w:val="21"/>
              </w:rPr>
            </w:pPr>
          </w:p>
        </w:tc>
        <w:tc>
          <w:tcPr>
            <w:tcW w:w="1201" w:type="dxa"/>
            <w:noWrap w:val="0"/>
            <w:vAlign w:val="center"/>
          </w:tcPr>
          <w:p>
            <w:pPr>
              <w:adjustRightInd w:val="0"/>
              <w:snapToGrid w:val="0"/>
              <w:spacing w:beforeLines="50" w:line="360" w:lineRule="auto"/>
              <w:jc w:val="center"/>
              <w:rPr>
                <w:rFonts w:ascii="宋体" w:hAnsi="宋体"/>
                <w:color w:val="auto"/>
                <w:szCs w:val="21"/>
              </w:rPr>
            </w:pPr>
          </w:p>
        </w:tc>
        <w:tc>
          <w:tcPr>
            <w:tcW w:w="1202" w:type="dxa"/>
            <w:noWrap w:val="0"/>
            <w:vAlign w:val="center"/>
          </w:tcPr>
          <w:p>
            <w:pPr>
              <w:adjustRightInd w:val="0"/>
              <w:snapToGrid w:val="0"/>
              <w:spacing w:beforeLines="50" w:line="360" w:lineRule="auto"/>
              <w:jc w:val="center"/>
              <w:rPr>
                <w:rFonts w:ascii="宋体" w:hAnsi="宋体"/>
                <w:color w:val="auto"/>
                <w:szCs w:val="21"/>
              </w:rPr>
            </w:pPr>
          </w:p>
        </w:tc>
        <w:tc>
          <w:tcPr>
            <w:tcW w:w="1201" w:type="dxa"/>
            <w:noWrap w:val="0"/>
            <w:vAlign w:val="center"/>
          </w:tcPr>
          <w:p>
            <w:pPr>
              <w:adjustRightInd w:val="0"/>
              <w:snapToGrid w:val="0"/>
              <w:spacing w:beforeLines="50" w:line="360" w:lineRule="auto"/>
              <w:jc w:val="center"/>
              <w:rPr>
                <w:rFonts w:ascii="宋体" w:hAnsi="宋体"/>
                <w:color w:val="auto"/>
                <w:szCs w:val="21"/>
              </w:rPr>
            </w:pPr>
          </w:p>
        </w:tc>
        <w:tc>
          <w:tcPr>
            <w:tcW w:w="1202" w:type="dxa"/>
            <w:noWrap w:val="0"/>
            <w:vAlign w:val="center"/>
          </w:tcPr>
          <w:p>
            <w:pPr>
              <w:adjustRightInd w:val="0"/>
              <w:snapToGrid w:val="0"/>
              <w:spacing w:beforeLines="50" w:line="360" w:lineRule="auto"/>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093" w:type="dxa"/>
            <w:gridSpan w:val="7"/>
            <w:noWrap w:val="0"/>
            <w:vAlign w:val="center"/>
          </w:tcPr>
          <w:p>
            <w:pPr>
              <w:adjustRightInd w:val="0"/>
              <w:snapToGrid w:val="0"/>
              <w:spacing w:beforeLines="50" w:line="360" w:lineRule="auto"/>
              <w:rPr>
                <w:rFonts w:ascii="宋体" w:hAnsi="宋体"/>
                <w:color w:val="auto"/>
                <w:szCs w:val="21"/>
              </w:rPr>
            </w:pPr>
            <w:r>
              <w:rPr>
                <w:rFonts w:hint="eastAsia" w:ascii="宋体" w:hAnsi="宋体"/>
                <w:color w:val="auto"/>
                <w:szCs w:val="21"/>
              </w:rPr>
              <w:t>合同金额小写：</w:t>
            </w:r>
            <w:r>
              <w:rPr>
                <w:rFonts w:hint="eastAsia" w:ascii="宋体" w:hAnsi="宋体"/>
                <w:color w:val="auto"/>
                <w:szCs w:val="21"/>
                <w:u w:val="single"/>
              </w:rPr>
              <w:t xml:space="preserve">                      </w:t>
            </w:r>
          </w:p>
          <w:p>
            <w:pPr>
              <w:adjustRightInd w:val="0"/>
              <w:snapToGrid w:val="0"/>
              <w:spacing w:beforeLines="50" w:line="360" w:lineRule="auto"/>
              <w:ind w:firstLine="840" w:firstLineChars="400"/>
              <w:rPr>
                <w:rFonts w:ascii="宋体" w:hAnsi="宋体"/>
                <w:color w:val="auto"/>
                <w:szCs w:val="21"/>
              </w:rPr>
            </w:pPr>
            <w:r>
              <w:rPr>
                <w:rFonts w:hint="eastAsia" w:ascii="宋体" w:hAnsi="宋体"/>
                <w:color w:val="auto"/>
                <w:szCs w:val="21"/>
              </w:rPr>
              <w:t>大写：</w:t>
            </w:r>
            <w:r>
              <w:rPr>
                <w:rFonts w:hint="eastAsia" w:ascii="宋体" w:hAnsi="宋体"/>
                <w:color w:val="auto"/>
                <w:szCs w:val="21"/>
                <w:u w:val="single"/>
              </w:rPr>
              <w:t xml:space="preserve">                      </w:t>
            </w:r>
          </w:p>
        </w:tc>
      </w:tr>
    </w:tbl>
    <w:p>
      <w:pPr>
        <w:numPr>
          <w:ilvl w:val="0"/>
          <w:numId w:val="0"/>
        </w:numPr>
        <w:adjustRightInd w:val="0"/>
        <w:snapToGrid w:val="0"/>
        <w:spacing w:beforeLines="50" w:line="360" w:lineRule="auto"/>
        <w:ind w:firstLine="422" w:firstLineChars="200"/>
        <w:rPr>
          <w:rFonts w:hint="eastAsia" w:ascii="宋体" w:hAnsi="宋体" w:cs="宋体"/>
          <w:b/>
          <w:color w:val="auto"/>
          <w:szCs w:val="21"/>
        </w:rPr>
      </w:pPr>
      <w:r>
        <w:rPr>
          <w:rFonts w:hint="eastAsia" w:ascii="宋体" w:hAnsi="宋体"/>
          <w:b/>
          <w:color w:val="auto"/>
          <w:szCs w:val="21"/>
        </w:rPr>
        <w:t>3.</w:t>
      </w:r>
      <w:r>
        <w:rPr>
          <w:rFonts w:hint="eastAsia" w:ascii="宋体" w:hAnsi="宋体" w:cs="宋体"/>
          <w:b/>
          <w:color w:val="auto"/>
          <w:szCs w:val="21"/>
        </w:rPr>
        <w:t>质量要求：达到国家合格质量标准。</w:t>
      </w:r>
    </w:p>
    <w:p>
      <w:pPr>
        <w:numPr>
          <w:ilvl w:val="0"/>
          <w:numId w:val="0"/>
        </w:numPr>
        <w:adjustRightInd w:val="0"/>
        <w:snapToGrid w:val="0"/>
        <w:spacing w:beforeLines="50" w:line="360" w:lineRule="auto"/>
        <w:ind w:firstLine="422" w:firstLineChars="200"/>
        <w:rPr>
          <w:rFonts w:hint="eastAsia" w:ascii="宋体" w:hAnsi="宋体" w:cs="宋体"/>
          <w:b/>
          <w:color w:val="auto"/>
          <w:szCs w:val="21"/>
          <w:u w:val="single"/>
        </w:rPr>
      </w:pPr>
      <w:r>
        <w:rPr>
          <w:rFonts w:hint="eastAsia" w:ascii="宋体" w:hAnsi="宋体" w:cs="宋体"/>
          <w:b/>
          <w:color w:val="auto"/>
          <w:szCs w:val="21"/>
          <w:lang w:val="en-US" w:eastAsia="zh-CN"/>
        </w:rPr>
        <w:t>4.</w:t>
      </w:r>
      <w:r>
        <w:rPr>
          <w:rFonts w:hint="eastAsia" w:ascii="宋体" w:hAnsi="宋体" w:cs="宋体"/>
          <w:b/>
          <w:color w:val="auto"/>
          <w:szCs w:val="21"/>
        </w:rPr>
        <w:t>履行合同的时间（期限）、地点及方式：</w:t>
      </w:r>
      <w:r>
        <w:rPr>
          <w:rFonts w:hint="eastAsia" w:ascii="宋体" w:hAnsi="宋体" w:cs="宋体"/>
          <w:b/>
          <w:color w:val="auto"/>
          <w:szCs w:val="21"/>
          <w:u w:val="single"/>
        </w:rPr>
        <w:t xml:space="preserve">                             </w:t>
      </w:r>
    </w:p>
    <w:p>
      <w:pPr>
        <w:numPr>
          <w:ilvl w:val="0"/>
          <w:numId w:val="0"/>
        </w:numPr>
        <w:adjustRightInd w:val="0"/>
        <w:snapToGrid w:val="0"/>
        <w:spacing w:beforeLines="50" w:line="360" w:lineRule="auto"/>
        <w:ind w:firstLine="422" w:firstLineChars="200"/>
        <w:rPr>
          <w:rFonts w:hint="eastAsia" w:ascii="宋体" w:hAnsi="宋体" w:cs="宋体"/>
          <w:b/>
          <w:color w:val="auto"/>
          <w:szCs w:val="21"/>
        </w:rPr>
      </w:pPr>
      <w:r>
        <w:rPr>
          <w:rFonts w:hint="eastAsia" w:ascii="宋体" w:hAnsi="宋体" w:cs="宋体"/>
          <w:b/>
          <w:color w:val="auto"/>
          <w:szCs w:val="21"/>
          <w:lang w:val="en-US" w:eastAsia="zh-CN"/>
        </w:rPr>
        <w:t>5.</w:t>
      </w:r>
      <w:r>
        <w:rPr>
          <w:rFonts w:hint="eastAsia" w:ascii="宋体" w:hAnsi="宋体" w:cs="宋体"/>
          <w:b/>
          <w:color w:val="auto"/>
          <w:szCs w:val="21"/>
        </w:rPr>
        <w:t xml:space="preserve">付款人及付款方式： </w:t>
      </w:r>
    </w:p>
    <w:p>
      <w:pPr>
        <w:numPr>
          <w:ilvl w:val="0"/>
          <w:numId w:val="0"/>
        </w:numPr>
        <w:adjustRightInd w:val="0"/>
        <w:snapToGrid w:val="0"/>
        <w:spacing w:beforeLines="50" w:line="360" w:lineRule="auto"/>
        <w:ind w:firstLine="422" w:firstLineChars="200"/>
        <w:rPr>
          <w:rFonts w:hint="eastAsia" w:ascii="宋体" w:hAnsi="宋体" w:cs="宋体"/>
          <w:b/>
          <w:color w:val="auto"/>
          <w:szCs w:val="21"/>
        </w:rPr>
      </w:pPr>
      <w:r>
        <w:rPr>
          <w:rFonts w:hint="eastAsia" w:ascii="宋体" w:hAnsi="宋体" w:cs="宋体"/>
          <w:b/>
          <w:color w:val="auto"/>
          <w:szCs w:val="21"/>
          <w:lang w:val="en-US" w:eastAsia="zh-CN"/>
        </w:rPr>
        <w:t>6.</w:t>
      </w:r>
      <w:r>
        <w:rPr>
          <w:rFonts w:hint="eastAsia" w:ascii="宋体" w:hAnsi="宋体" w:cs="宋体"/>
          <w:b/>
          <w:color w:val="auto"/>
          <w:szCs w:val="21"/>
        </w:rPr>
        <w:t xml:space="preserve">验收要求：依据采购合同等，由采购人组织验收， </w:t>
      </w:r>
    </w:p>
    <w:p>
      <w:pPr>
        <w:numPr>
          <w:ilvl w:val="0"/>
          <w:numId w:val="0"/>
        </w:numPr>
        <w:adjustRightInd w:val="0"/>
        <w:snapToGrid w:val="0"/>
        <w:spacing w:beforeLines="50" w:line="360" w:lineRule="auto"/>
        <w:ind w:firstLine="422" w:firstLineChars="200"/>
        <w:rPr>
          <w:rFonts w:hint="eastAsia" w:ascii="宋体" w:hAnsi="宋体" w:cs="宋体"/>
          <w:b/>
          <w:color w:val="auto"/>
          <w:szCs w:val="21"/>
        </w:rPr>
      </w:pPr>
      <w:r>
        <w:rPr>
          <w:rFonts w:hint="eastAsia" w:ascii="宋体" w:hAnsi="宋体" w:cs="宋体"/>
          <w:b/>
          <w:color w:val="auto"/>
          <w:szCs w:val="21"/>
          <w:lang w:val="en-US" w:eastAsia="zh-CN"/>
        </w:rPr>
        <w:t>7.</w:t>
      </w:r>
      <w:r>
        <w:rPr>
          <w:rFonts w:hint="eastAsia" w:ascii="宋体" w:hAnsi="宋体" w:cs="宋体"/>
          <w:b/>
          <w:color w:val="auto"/>
          <w:szCs w:val="21"/>
        </w:rPr>
        <w:t>违约责任：</w:t>
      </w:r>
      <w:r>
        <w:rPr>
          <w:rFonts w:hint="eastAsia" w:ascii="宋体" w:hAnsi="宋体" w:cs="宋体"/>
          <w:color w:val="auto"/>
          <w:szCs w:val="21"/>
        </w:rPr>
        <w:t xml:space="preserve"> </w:t>
      </w:r>
    </w:p>
    <w:p>
      <w:pPr>
        <w:adjustRightInd w:val="0"/>
        <w:snapToGrid w:val="0"/>
        <w:spacing w:beforeLines="50" w:line="360" w:lineRule="auto"/>
        <w:ind w:firstLine="422" w:firstLineChars="200"/>
        <w:rPr>
          <w:rFonts w:ascii="宋体" w:hAnsi="宋体"/>
          <w:b/>
          <w:color w:val="auto"/>
          <w:szCs w:val="21"/>
        </w:rPr>
      </w:pPr>
      <w:r>
        <w:rPr>
          <w:rFonts w:hint="eastAsia" w:ascii="宋体" w:hAnsi="宋体" w:cs="宋体"/>
          <w:b/>
          <w:color w:val="auto"/>
          <w:szCs w:val="21"/>
          <w:lang w:val="en-US" w:eastAsia="zh-CN"/>
        </w:rPr>
        <w:t>8.</w:t>
      </w:r>
      <w:r>
        <w:rPr>
          <w:rFonts w:hint="eastAsia" w:ascii="宋体" w:hAnsi="宋体" w:cs="宋体"/>
          <w:b/>
          <w:color w:val="auto"/>
          <w:szCs w:val="21"/>
        </w:rPr>
        <w:t>解决合同争议及纠纷方式</w:t>
      </w:r>
      <w:r>
        <w:rPr>
          <w:rFonts w:hint="eastAsia" w:ascii="宋体" w:hAnsi="宋体" w:cs="宋体"/>
          <w:color w:val="auto"/>
          <w:szCs w:val="21"/>
        </w:rPr>
        <w:t xml:space="preserve"> </w:t>
      </w:r>
    </w:p>
    <w:p>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首先通过双方协商解决，协商解决不成，则通过以下途径之一解决纠纷：</w:t>
      </w:r>
    </w:p>
    <w:p>
      <w:pPr>
        <w:adjustRightInd w:val="0"/>
        <w:snapToGrid w:val="0"/>
        <w:spacing w:beforeLines="50" w:line="360" w:lineRule="auto"/>
        <w:ind w:firstLine="840" w:firstLineChars="400"/>
        <w:rPr>
          <w:rFonts w:ascii="宋体" w:hAnsi="宋体"/>
          <w:color w:val="auto"/>
          <w:szCs w:val="21"/>
        </w:rPr>
      </w:pPr>
      <w:r>
        <w:rPr>
          <w:rFonts w:hint="eastAsia" w:ascii="宋体" w:hAnsi="宋体"/>
          <w:color w:val="auto"/>
          <w:szCs w:val="21"/>
        </w:rPr>
        <w:t>□ 提请仲裁       □ 向人民法院提起诉讼</w:t>
      </w:r>
    </w:p>
    <w:p>
      <w:pPr>
        <w:adjustRightInd w:val="0"/>
        <w:snapToGrid w:val="0"/>
        <w:spacing w:beforeLines="50" w:line="360" w:lineRule="auto"/>
        <w:ind w:firstLine="422" w:firstLineChars="200"/>
        <w:rPr>
          <w:rFonts w:ascii="宋体" w:hAnsi="宋体"/>
          <w:b/>
          <w:color w:val="auto"/>
          <w:szCs w:val="21"/>
        </w:rPr>
      </w:pPr>
      <w:r>
        <w:rPr>
          <w:rFonts w:hint="eastAsia" w:ascii="宋体" w:hAnsi="宋体"/>
          <w:b/>
          <w:color w:val="auto"/>
          <w:szCs w:val="21"/>
          <w:lang w:val="en-US" w:eastAsia="zh-CN"/>
        </w:rPr>
        <w:t>9</w:t>
      </w:r>
      <w:r>
        <w:rPr>
          <w:rFonts w:hint="eastAsia" w:ascii="宋体" w:hAnsi="宋体"/>
          <w:b/>
          <w:color w:val="auto"/>
          <w:szCs w:val="21"/>
        </w:rPr>
        <w:t>.组成合同的文件</w:t>
      </w:r>
    </w:p>
    <w:p>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合同由以下文件构成，如下述文件之间有任何抵触、矛盾或歧义，应按以下顺序解释：</w:t>
      </w:r>
    </w:p>
    <w:p>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（1）在采购或合同履行过程中乙方作出的承诺以及双方协商达成的变更或补充协议</w:t>
      </w:r>
    </w:p>
    <w:p>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（2）本合同协议书</w:t>
      </w:r>
    </w:p>
    <w:p>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（3）中标或成交通知书</w:t>
      </w:r>
    </w:p>
    <w:p>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（4）采购合同格式条款</w:t>
      </w:r>
    </w:p>
    <w:p>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（5）投标文件</w:t>
      </w:r>
    </w:p>
    <w:p>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（6）招标文件</w:t>
      </w:r>
    </w:p>
    <w:p>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（7）标准、规范及有关技术文件</w:t>
      </w:r>
    </w:p>
    <w:p>
      <w:pPr>
        <w:adjustRightInd w:val="0"/>
        <w:snapToGrid w:val="0"/>
        <w:spacing w:beforeLines="50" w:line="360" w:lineRule="auto"/>
        <w:ind w:firstLine="422" w:firstLineChars="200"/>
        <w:rPr>
          <w:rFonts w:hint="eastAsia" w:ascii="宋体" w:hAnsi="宋体"/>
          <w:b/>
          <w:color w:val="auto"/>
          <w:szCs w:val="21"/>
        </w:rPr>
      </w:pPr>
      <w:r>
        <w:rPr>
          <w:rFonts w:hint="eastAsia" w:ascii="宋体" w:hAnsi="宋体"/>
          <w:b/>
          <w:color w:val="auto"/>
          <w:szCs w:val="21"/>
          <w:lang w:val="en-US" w:eastAsia="zh-CN"/>
        </w:rPr>
        <w:t>10</w:t>
      </w:r>
      <w:r>
        <w:rPr>
          <w:rFonts w:hint="eastAsia" w:ascii="宋体" w:hAnsi="宋体"/>
          <w:b/>
          <w:color w:val="auto"/>
          <w:szCs w:val="21"/>
        </w:rPr>
        <w:t>.合同生效</w:t>
      </w:r>
    </w:p>
    <w:p>
      <w:pPr>
        <w:adjustRightInd w:val="0"/>
        <w:snapToGrid w:val="0"/>
        <w:spacing w:beforeLines="50" w:line="360" w:lineRule="auto"/>
        <w:ind w:firstLine="420" w:firstLineChars="200"/>
        <w:rPr>
          <w:rFonts w:hint="eastAsia"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pPr>
        <w:adjustRightInd w:val="0"/>
        <w:snapToGrid w:val="0"/>
        <w:spacing w:beforeLines="50" w:line="360" w:lineRule="auto"/>
        <w:ind w:firstLine="422" w:firstLineChars="200"/>
        <w:rPr>
          <w:rFonts w:hint="eastAsia" w:ascii="宋体" w:hAnsi="宋体"/>
          <w:b/>
          <w:color w:val="auto"/>
          <w:szCs w:val="21"/>
        </w:rPr>
      </w:pPr>
      <w:r>
        <w:rPr>
          <w:rFonts w:hint="eastAsia" w:ascii="宋体" w:hAnsi="宋体"/>
          <w:b/>
          <w:color w:val="auto"/>
          <w:szCs w:val="21"/>
          <w:lang w:val="en-US" w:eastAsia="zh-CN"/>
        </w:rPr>
        <w:t>11</w:t>
      </w:r>
      <w:r>
        <w:rPr>
          <w:rFonts w:hint="eastAsia" w:ascii="宋体" w:hAnsi="宋体"/>
          <w:b/>
          <w:color w:val="auto"/>
          <w:szCs w:val="21"/>
        </w:rPr>
        <w:t>.合同份数</w:t>
      </w:r>
    </w:p>
    <w:p>
      <w:pPr>
        <w:adjustRightInd w:val="0"/>
        <w:snapToGrid w:val="0"/>
        <w:spacing w:beforeLines="50" w:line="360" w:lineRule="auto"/>
        <w:ind w:firstLine="420" w:firstLineChars="200"/>
        <w:rPr>
          <w:rFonts w:hint="eastAsia"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份，甲方、乙方各</w:t>
      </w:r>
      <w:r>
        <w:rPr>
          <w:rFonts w:hint="eastAsia" w:ascii="宋体" w:hAnsi="宋体"/>
          <w:color w:val="auto"/>
          <w:szCs w:val="21"/>
          <w:u w:val="single"/>
        </w:rPr>
        <w:t xml:space="preserve">  </w:t>
      </w:r>
      <w:r>
        <w:rPr>
          <w:rFonts w:hint="eastAsia" w:ascii="宋体" w:hAnsi="宋体"/>
          <w:color w:val="auto"/>
          <w:szCs w:val="21"/>
        </w:rPr>
        <w:t>份，采购代理机构</w:t>
      </w:r>
      <w:r>
        <w:rPr>
          <w:rFonts w:hint="eastAsia" w:ascii="宋体" w:hAnsi="宋体"/>
          <w:color w:val="auto"/>
          <w:szCs w:val="21"/>
          <w:u w:val="single"/>
        </w:rPr>
        <w:t xml:space="preserve">  </w:t>
      </w:r>
      <w:r>
        <w:rPr>
          <w:rFonts w:hint="eastAsia" w:ascii="宋体" w:hAnsi="宋体"/>
          <w:color w:val="auto"/>
          <w:szCs w:val="21"/>
        </w:rPr>
        <w:t>份。</w:t>
      </w:r>
    </w:p>
    <w:p>
      <w:pPr>
        <w:adjustRightInd w:val="0"/>
        <w:snapToGrid w:val="0"/>
        <w:spacing w:beforeLines="50" w:line="360" w:lineRule="auto"/>
        <w:ind w:firstLine="420" w:firstLineChars="200"/>
        <w:rPr>
          <w:rFonts w:ascii="宋体" w:hAnsi="宋体"/>
          <w:color w:val="auto"/>
          <w:szCs w:val="21"/>
        </w:rPr>
      </w:pPr>
    </w:p>
    <w:p>
      <w:pPr>
        <w:adjustRightInd w:val="0"/>
        <w:snapToGrid w:val="0"/>
        <w:spacing w:beforeLines="50" w:line="360" w:lineRule="auto"/>
        <w:rPr>
          <w:rFonts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adjustRightInd w:val="0"/>
        <w:snapToGrid w:val="0"/>
        <w:spacing w:beforeLines="50" w:line="360" w:lineRule="auto"/>
        <w:rPr>
          <w:rFonts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tbl>
      <w:tblPr>
        <w:tblStyle w:val="19"/>
        <w:tblW w:w="0" w:type="auto"/>
        <w:tblInd w:w="108" w:type="dxa"/>
        <w:tblLayout w:type="fixed"/>
        <w:tblCellMar>
          <w:top w:w="0" w:type="dxa"/>
          <w:left w:w="108" w:type="dxa"/>
          <w:bottom w:w="0" w:type="dxa"/>
          <w:right w:w="108" w:type="dxa"/>
        </w:tblCellMar>
      </w:tblPr>
      <w:tblGrid>
        <w:gridCol w:w="5215"/>
        <w:gridCol w:w="4031"/>
      </w:tblGrid>
      <w:tr>
        <w:tblPrEx>
          <w:tblCellMar>
            <w:top w:w="0" w:type="dxa"/>
            <w:left w:w="108" w:type="dxa"/>
            <w:bottom w:w="0" w:type="dxa"/>
            <w:right w:w="108" w:type="dxa"/>
          </w:tblCellMar>
        </w:tblPrEx>
        <w:trPr>
          <w:cantSplit/>
          <w:trHeight w:val="2273" w:hRule="atLeast"/>
        </w:trPr>
        <w:tc>
          <w:tcPr>
            <w:tcW w:w="5215" w:type="dxa"/>
            <w:noWrap w:val="0"/>
            <w:vAlign w:val="top"/>
          </w:tcPr>
          <w:p>
            <w:pPr>
              <w:adjustRightInd w:val="0"/>
              <w:snapToGrid w:val="0"/>
              <w:spacing w:line="360" w:lineRule="auto"/>
              <w:rPr>
                <w:rFonts w:hint="eastAsia" w:ascii="宋体" w:hAnsi="宋体"/>
                <w:color w:val="auto"/>
                <w:szCs w:val="21"/>
              </w:rPr>
            </w:pPr>
            <w:r>
              <w:rPr>
                <w:rFonts w:hint="eastAsia" w:ascii="宋体" w:hAnsi="宋体"/>
                <w:color w:val="auto"/>
                <w:szCs w:val="21"/>
              </w:rPr>
              <w:t xml:space="preserve">   </w:t>
            </w:r>
          </w:p>
          <w:p>
            <w:pPr>
              <w:adjustRightInd w:val="0"/>
              <w:snapToGrid w:val="0"/>
              <w:spacing w:line="360" w:lineRule="auto"/>
              <w:rPr>
                <w:rFonts w:hint="eastAsia" w:ascii="宋体" w:hAnsi="宋体"/>
                <w:color w:val="auto"/>
                <w:szCs w:val="21"/>
              </w:rPr>
            </w:pPr>
            <w:r>
              <w:rPr>
                <w:rFonts w:hint="eastAsia" w:ascii="宋体" w:hAnsi="宋体"/>
                <w:color w:val="auto"/>
                <w:szCs w:val="21"/>
              </w:rPr>
              <w:t xml:space="preserve">     甲方（盖章）：</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p>
          <w:p>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rPr>
              <w:t>联系电话：</w:t>
            </w:r>
            <w:r>
              <w:rPr>
                <w:rFonts w:hint="eastAsia" w:ascii="宋体" w:hAnsi="宋体"/>
                <w:color w:val="auto"/>
                <w:szCs w:val="21"/>
                <w:u w:val="single"/>
              </w:rPr>
              <w:t xml:space="preserve">             </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单位地址：</w:t>
            </w:r>
            <w:r>
              <w:rPr>
                <w:rFonts w:hint="eastAsia" w:ascii="宋体" w:hAnsi="宋体"/>
                <w:color w:val="auto"/>
                <w:szCs w:val="21"/>
                <w:u w:val="single"/>
              </w:rPr>
              <w:t xml:space="preserve">            </w:t>
            </w:r>
          </w:p>
        </w:tc>
        <w:tc>
          <w:tcPr>
            <w:tcW w:w="4031" w:type="dxa"/>
            <w:noWrap w:val="0"/>
            <w:vAlign w:val="top"/>
          </w:tcPr>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乙方（盖章）：</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联系电话：</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单位地址：</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开户银行：</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账    号：</w:t>
            </w:r>
          </w:p>
        </w:tc>
      </w:tr>
    </w:tbl>
    <w:p>
      <w:pPr>
        <w:adjustRightInd w:val="0"/>
        <w:snapToGrid w:val="0"/>
        <w:spacing w:line="360" w:lineRule="auto"/>
        <w:jc w:val="center"/>
        <w:rPr>
          <w:rFonts w:hint="eastAsia" w:ascii="宋体" w:hAnsi="宋体"/>
          <w:b/>
          <w:color w:val="auto"/>
          <w:szCs w:val="21"/>
        </w:rPr>
      </w:pPr>
    </w:p>
    <w:p>
      <w:pPr>
        <w:tabs>
          <w:tab w:val="left" w:pos="8820"/>
          <w:tab w:val="left" w:pos="9345"/>
          <w:tab w:val="left" w:pos="9765"/>
        </w:tabs>
        <w:adjustRightInd w:val="0"/>
        <w:snapToGrid w:val="0"/>
        <w:spacing w:beforeLines="50" w:line="360" w:lineRule="auto"/>
        <w:ind w:right="384" w:rightChars="183"/>
        <w:rPr>
          <w:rFonts w:hint="eastAsia" w:ascii="黑体" w:hAnsi="华文中宋" w:eastAsia="黑体"/>
          <w:b/>
          <w:bCs/>
          <w:color w:val="auto"/>
          <w:sz w:val="32"/>
          <w:szCs w:val="32"/>
        </w:rPr>
      </w:pPr>
    </w:p>
    <w:p>
      <w:pPr>
        <w:tabs>
          <w:tab w:val="left" w:pos="8820"/>
          <w:tab w:val="left" w:pos="9345"/>
          <w:tab w:val="left" w:pos="9765"/>
        </w:tabs>
        <w:adjustRightInd w:val="0"/>
        <w:snapToGrid w:val="0"/>
        <w:spacing w:beforeLines="50" w:line="360" w:lineRule="auto"/>
        <w:ind w:right="384" w:rightChars="183"/>
        <w:rPr>
          <w:rFonts w:hint="eastAsia" w:ascii="黑体" w:hAnsi="华文中宋" w:eastAsia="黑体"/>
          <w:b/>
          <w:bCs/>
          <w:color w:val="auto"/>
          <w:sz w:val="32"/>
          <w:szCs w:val="32"/>
        </w:rPr>
      </w:pPr>
    </w:p>
    <w:p>
      <w:pPr>
        <w:tabs>
          <w:tab w:val="left" w:pos="8820"/>
          <w:tab w:val="left" w:pos="9345"/>
          <w:tab w:val="left" w:pos="9765"/>
        </w:tabs>
        <w:adjustRightInd w:val="0"/>
        <w:snapToGrid w:val="0"/>
        <w:spacing w:beforeLines="50" w:line="360" w:lineRule="auto"/>
        <w:ind w:right="384" w:rightChars="183"/>
        <w:rPr>
          <w:rFonts w:hint="eastAsia" w:ascii="黑体" w:hAnsi="华文中宋" w:eastAsia="黑体"/>
          <w:b/>
          <w:bCs/>
          <w:color w:val="auto"/>
          <w:sz w:val="32"/>
          <w:szCs w:val="32"/>
        </w:rPr>
      </w:pPr>
    </w:p>
    <w:p>
      <w:pPr>
        <w:tabs>
          <w:tab w:val="left" w:pos="8820"/>
          <w:tab w:val="left" w:pos="9345"/>
          <w:tab w:val="left" w:pos="9765"/>
        </w:tabs>
        <w:adjustRightInd w:val="0"/>
        <w:snapToGrid w:val="0"/>
        <w:spacing w:beforeLines="50" w:line="360" w:lineRule="auto"/>
        <w:ind w:right="384" w:rightChars="183"/>
        <w:rPr>
          <w:rFonts w:ascii="黑体" w:hAnsi="华文中宋" w:eastAsia="黑体"/>
          <w:b/>
          <w:bCs/>
          <w:color w:val="auto"/>
          <w:sz w:val="32"/>
          <w:szCs w:val="32"/>
        </w:rPr>
      </w:pPr>
      <w:r>
        <w:rPr>
          <w:rFonts w:hint="eastAsia" w:ascii="黑体" w:hAnsi="华文中宋" w:eastAsia="黑体"/>
          <w:b/>
          <w:bCs/>
          <w:color w:val="auto"/>
          <w:sz w:val="32"/>
          <w:szCs w:val="32"/>
        </w:rPr>
        <w:t>二、采购合同通用条款</w:t>
      </w:r>
    </w:p>
    <w:p>
      <w:pPr>
        <w:tabs>
          <w:tab w:val="left" w:pos="8820"/>
          <w:tab w:val="left" w:pos="9345"/>
          <w:tab w:val="left" w:pos="9765"/>
        </w:tabs>
        <w:adjustRightInd w:val="0"/>
        <w:snapToGrid w:val="0"/>
        <w:spacing w:before="50" w:line="360" w:lineRule="auto"/>
        <w:jc w:val="left"/>
        <w:rPr>
          <w:rFonts w:ascii="宋体" w:hAnsi="宋体"/>
          <w:b/>
          <w:bCs/>
          <w:color w:val="auto"/>
          <w:sz w:val="24"/>
        </w:rPr>
      </w:pPr>
      <w:bookmarkStart w:id="0" w:name="_Toc20651239"/>
      <w:r>
        <w:rPr>
          <w:rFonts w:hint="eastAsia" w:ascii="宋体" w:hAnsi="宋体"/>
          <w:b/>
          <w:color w:val="auto"/>
          <w:sz w:val="24"/>
        </w:rPr>
        <w:t>1.</w:t>
      </w:r>
      <w:r>
        <w:rPr>
          <w:rFonts w:hint="eastAsia" w:ascii="宋体" w:hAnsi="宋体"/>
          <w:b/>
          <w:bCs/>
          <w:color w:val="auto"/>
          <w:sz w:val="24"/>
        </w:rPr>
        <w:t>定义</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1.1合同当事人</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（1）采购人（以下称甲方）是指使用财政性资金，通过采购程序向供应商购买货物、服务的国家机关、事业单位、团体组织。本次采购的甲方名称、地址见</w:t>
      </w:r>
      <w:r>
        <w:rPr>
          <w:rFonts w:hint="eastAsia" w:ascii="宋体" w:hAnsi="宋体"/>
          <w:b/>
          <w:color w:val="auto"/>
          <w:szCs w:val="21"/>
        </w:rPr>
        <w:t>【采购合同专用条款】。</w:t>
      </w:r>
    </w:p>
    <w:p>
      <w:pPr>
        <w:autoSpaceDE w:val="0"/>
        <w:autoSpaceDN w:val="0"/>
        <w:adjustRightInd w:val="0"/>
        <w:snapToGrid w:val="0"/>
        <w:spacing w:before="50" w:line="360" w:lineRule="auto"/>
        <w:ind w:firstLine="420" w:firstLineChars="200"/>
        <w:jc w:val="left"/>
        <w:rPr>
          <w:rFonts w:ascii="宋体" w:hAnsi="宋体"/>
          <w:b/>
          <w:color w:val="auto"/>
          <w:szCs w:val="21"/>
        </w:rPr>
      </w:pPr>
      <w:r>
        <w:rPr>
          <w:rFonts w:hint="eastAsia" w:ascii="宋体" w:hAnsi="宋体"/>
          <w:color w:val="auto"/>
          <w:szCs w:val="21"/>
        </w:rPr>
        <w:t>（2）供应商（以下称乙方）是指参加采购活动而取得中标结果，并向采购人提供货物、服务的法人、其他组织或者自然人。</w:t>
      </w:r>
    </w:p>
    <w:p>
      <w:pPr>
        <w:tabs>
          <w:tab w:val="left" w:pos="570"/>
          <w:tab w:val="left" w:pos="9240"/>
          <w:tab w:val="left" w:pos="9555"/>
        </w:tabs>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1.2本合同下列术语应解释为：</w:t>
      </w:r>
    </w:p>
    <w:p>
      <w:pPr>
        <w:tabs>
          <w:tab w:val="left" w:pos="570"/>
          <w:tab w:val="left" w:pos="9240"/>
          <w:tab w:val="left" w:pos="9555"/>
        </w:tabs>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（1）“合同”系指甲乙双方签署的、采购合同协议书中载明的甲乙双方所达成的协议，包括所有的附件、附录和上述文件所提到的构成合同的所有文件。</w:t>
      </w:r>
    </w:p>
    <w:p>
      <w:pPr>
        <w:tabs>
          <w:tab w:val="left" w:pos="570"/>
          <w:tab w:val="left" w:pos="9240"/>
          <w:tab w:val="left" w:pos="9555"/>
        </w:tabs>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（2）“合同价”系指根据本合同规定乙方在正确地完全履行合同义务后甲方应支付给乙方的价款。</w:t>
      </w:r>
    </w:p>
    <w:p>
      <w:pPr>
        <w:tabs>
          <w:tab w:val="left" w:pos="570"/>
          <w:tab w:val="left" w:pos="9240"/>
          <w:tab w:val="left" w:pos="9555"/>
        </w:tabs>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（3）“货物”系指乙方根据本合同规定须向甲方提供的各种形态和种类的物品，包括原材料、设备、产品（包括软件）及相关的其备品备件、工具、手册及其它技术资料和材料。</w:t>
      </w:r>
    </w:p>
    <w:p>
      <w:pPr>
        <w:tabs>
          <w:tab w:val="left" w:pos="570"/>
          <w:tab w:val="left" w:pos="8880"/>
          <w:tab w:val="left" w:pos="9555"/>
        </w:tabs>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4）“服务”系指根据合同规定，乙方应提供的技术、管理和其它服务，包括但不限于：管理和质量保证、运输、保险、检验、现场准备、安装、集成、调试、培训、维修、技术支持等以及合同中规定乙方应承担的其它义务。</w:t>
      </w:r>
    </w:p>
    <w:p>
      <w:pPr>
        <w:tabs>
          <w:tab w:val="left" w:pos="570"/>
          <w:tab w:val="left" w:pos="9240"/>
          <w:tab w:val="left" w:pos="9555"/>
        </w:tabs>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（5）“合同条款”系指本合同条款。</w:t>
      </w:r>
    </w:p>
    <w:p>
      <w:pPr>
        <w:tabs>
          <w:tab w:val="left" w:pos="570"/>
          <w:tab w:val="left" w:pos="9240"/>
          <w:tab w:val="left" w:pos="9555"/>
        </w:tabs>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（6）“项目现场”系指本合同项下货物安装、运行的现场，其名称见</w:t>
      </w:r>
      <w:r>
        <w:rPr>
          <w:rFonts w:hint="eastAsia" w:ascii="宋体" w:hAnsi="宋体"/>
          <w:b/>
          <w:color w:val="auto"/>
          <w:szCs w:val="21"/>
        </w:rPr>
        <w:t>【采购合同专用条款】</w:t>
      </w:r>
      <w:r>
        <w:rPr>
          <w:rFonts w:hint="eastAsia" w:ascii="宋体" w:hAnsi="宋体"/>
          <w:color w:val="auto"/>
          <w:szCs w:val="21"/>
        </w:rPr>
        <w:t>。</w:t>
      </w:r>
    </w:p>
    <w:p>
      <w:pPr>
        <w:autoSpaceDE w:val="0"/>
        <w:autoSpaceDN w:val="0"/>
        <w:adjustRightInd w:val="0"/>
        <w:snapToGrid w:val="0"/>
        <w:spacing w:before="50" w:line="360" w:lineRule="auto"/>
        <w:jc w:val="left"/>
        <w:rPr>
          <w:rFonts w:ascii="宋体" w:hAnsi="宋体"/>
          <w:b/>
          <w:color w:val="auto"/>
          <w:sz w:val="24"/>
        </w:rPr>
      </w:pPr>
      <w:r>
        <w:rPr>
          <w:rFonts w:hint="eastAsia" w:ascii="宋体" w:hAnsi="宋体"/>
          <w:b/>
          <w:color w:val="auto"/>
          <w:sz w:val="24"/>
        </w:rPr>
        <w:t>2.合同的适用范围</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2.1 本合同条款适用于没有被本合同其他部分的条款所取代的范围。</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2.2 合同内容根据招标文件、投标文件而确定。</w:t>
      </w:r>
    </w:p>
    <w:p>
      <w:pPr>
        <w:autoSpaceDE w:val="0"/>
        <w:autoSpaceDN w:val="0"/>
        <w:adjustRightInd w:val="0"/>
        <w:snapToGrid w:val="0"/>
        <w:spacing w:before="50" w:line="360" w:lineRule="auto"/>
        <w:jc w:val="left"/>
        <w:rPr>
          <w:rFonts w:ascii="宋体" w:hAnsi="宋体"/>
          <w:b/>
          <w:bCs/>
          <w:color w:val="auto"/>
          <w:sz w:val="24"/>
        </w:rPr>
      </w:pPr>
      <w:r>
        <w:rPr>
          <w:rFonts w:hint="eastAsia" w:ascii="宋体" w:hAnsi="宋体"/>
          <w:b/>
          <w:bCs/>
          <w:color w:val="auto"/>
          <w:sz w:val="24"/>
        </w:rPr>
        <w:t>3.</w:t>
      </w:r>
      <w:r>
        <w:rPr>
          <w:rFonts w:hint="eastAsia" w:ascii="宋体" w:hAnsi="宋体"/>
          <w:b/>
          <w:color w:val="auto"/>
          <w:sz w:val="24"/>
        </w:rPr>
        <w:t>合同标的及金额</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3.1 合同标的及金额应与中标结果一致。</w:t>
      </w:r>
    </w:p>
    <w:p>
      <w:pPr>
        <w:autoSpaceDE w:val="0"/>
        <w:autoSpaceDN w:val="0"/>
        <w:adjustRightInd w:val="0"/>
        <w:snapToGrid w:val="0"/>
        <w:spacing w:before="50" w:line="360" w:lineRule="auto"/>
        <w:jc w:val="left"/>
        <w:rPr>
          <w:rFonts w:ascii="宋体" w:hAnsi="宋体"/>
          <w:b/>
          <w:bCs/>
          <w:color w:val="auto"/>
          <w:sz w:val="24"/>
        </w:rPr>
      </w:pPr>
      <w:r>
        <w:rPr>
          <w:rFonts w:hint="eastAsia" w:ascii="宋体" w:hAnsi="宋体"/>
          <w:b/>
          <w:bCs/>
          <w:color w:val="auto"/>
          <w:sz w:val="24"/>
        </w:rPr>
        <w:t>4.</w:t>
      </w:r>
      <w:r>
        <w:rPr>
          <w:rFonts w:hint="eastAsia" w:ascii="宋体" w:hAnsi="宋体"/>
          <w:b/>
          <w:color w:val="auto"/>
          <w:sz w:val="24"/>
        </w:rPr>
        <w:t>合同价款</w:t>
      </w:r>
    </w:p>
    <w:p>
      <w:pPr>
        <w:adjustRightInd w:val="0"/>
        <w:snapToGrid w:val="0"/>
        <w:spacing w:before="50" w:line="360" w:lineRule="auto"/>
        <w:ind w:firstLine="420" w:firstLineChars="200"/>
        <w:jc w:val="left"/>
        <w:rPr>
          <w:rFonts w:ascii="宋体" w:hAnsi="宋体"/>
          <w:b/>
          <w:bCs/>
          <w:i/>
          <w:iCs/>
          <w:color w:val="auto"/>
          <w:szCs w:val="21"/>
        </w:rPr>
      </w:pPr>
      <w:r>
        <w:rPr>
          <w:rFonts w:hint="eastAsia" w:ascii="宋体" w:hAnsi="宋体"/>
          <w:color w:val="auto"/>
          <w:szCs w:val="21"/>
        </w:rPr>
        <w:t>4.1具体合同价款见本合同第3.1条。乙方为履行本合同而发生的所有费用均应包含在合同价款中，甲方不再另行支付其它任何费用。</w:t>
      </w:r>
    </w:p>
    <w:p>
      <w:pPr>
        <w:adjustRightInd w:val="0"/>
        <w:snapToGrid w:val="0"/>
        <w:spacing w:before="50" w:line="360" w:lineRule="auto"/>
        <w:jc w:val="left"/>
        <w:rPr>
          <w:rFonts w:ascii="宋体" w:hAnsi="宋体"/>
          <w:b/>
          <w:color w:val="auto"/>
          <w:sz w:val="24"/>
        </w:rPr>
      </w:pPr>
      <w:r>
        <w:rPr>
          <w:rFonts w:hint="eastAsia" w:ascii="宋体" w:hAnsi="宋体"/>
          <w:b/>
          <w:color w:val="auto"/>
          <w:sz w:val="24"/>
        </w:rPr>
        <w:t>5.履行合同的时间、地点和方式</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5.1 乙方应当在甲方确定的时间、指定的地点履行合同，具体的交货时间、地点和方式见</w:t>
      </w:r>
      <w:r>
        <w:rPr>
          <w:rFonts w:hint="eastAsia" w:ascii="宋体" w:hAnsi="宋体"/>
          <w:b/>
          <w:color w:val="auto"/>
          <w:szCs w:val="21"/>
        </w:rPr>
        <w:t>【采购合同专用条款】</w:t>
      </w:r>
      <w:r>
        <w:rPr>
          <w:rFonts w:hint="eastAsia" w:ascii="宋体" w:hAnsi="宋体"/>
          <w:color w:val="auto"/>
          <w:szCs w:val="21"/>
        </w:rPr>
        <w:t>。</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5.2 乙方提供服务的应当在甲方指定的地点完成服务项目。</w:t>
      </w:r>
    </w:p>
    <w:p>
      <w:pPr>
        <w:adjustRightInd w:val="0"/>
        <w:snapToGrid w:val="0"/>
        <w:spacing w:before="50" w:line="360" w:lineRule="auto"/>
        <w:jc w:val="left"/>
        <w:rPr>
          <w:rFonts w:ascii="宋体" w:hAnsi="宋体"/>
          <w:b/>
          <w:bCs/>
          <w:color w:val="auto"/>
          <w:sz w:val="24"/>
        </w:rPr>
      </w:pPr>
      <w:r>
        <w:rPr>
          <w:rFonts w:hint="eastAsia" w:ascii="宋体" w:hAnsi="宋体"/>
          <w:b/>
          <w:bCs/>
          <w:color w:val="auto"/>
          <w:sz w:val="24"/>
        </w:rPr>
        <w:t>6.</w:t>
      </w:r>
      <w:r>
        <w:rPr>
          <w:rFonts w:hint="eastAsia" w:ascii="宋体" w:hAnsi="宋体"/>
          <w:b/>
          <w:color w:val="auto"/>
          <w:sz w:val="24"/>
        </w:rPr>
        <w:t>货物的验收</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6.1 甲方在收到乙方交付的货物后应当及时组织验收。</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6.2 货物的表面瑕疵，甲方应在验收时当面提出；对质量问题有异议的应在安装调试后十个工作日内提出。</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6.3 在验收过程中发现数量不足或有质量、技术等问题，乙方应负责按照甲方的要求采取补足、更换或退货等处理措施，并承担由此发生的一切费用和损失。</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6.4 甲方在乙方按合同规定交货或安装、调试后，无正当理由而拖延接收、验收或拒绝接收、验收的，应承担因此给乙方造成的直接损失。</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6.5 甲方对货物进行检查验收合格后，应当收取发票并在《交货验收单》上签署验收意见及加盖单位印章。</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6.6 大型或者复杂的货物采购项目，甲方可以邀请国家认可的质量检测机构参加验收工作，并由其出具验收报告单。</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6.7 乙方提供的进口产品，乙方应出示中华人民共和国进出口商品检验部门出具的检验证书（招标文件第五章采购需求另有约定的除外）。</w:t>
      </w:r>
    </w:p>
    <w:p>
      <w:pPr>
        <w:adjustRightInd w:val="0"/>
        <w:snapToGrid w:val="0"/>
        <w:spacing w:before="50" w:line="360" w:lineRule="auto"/>
        <w:jc w:val="left"/>
        <w:rPr>
          <w:rFonts w:ascii="宋体" w:hAnsi="宋体"/>
          <w:b/>
          <w:bCs/>
          <w:color w:val="auto"/>
          <w:sz w:val="24"/>
        </w:rPr>
      </w:pPr>
      <w:r>
        <w:rPr>
          <w:rFonts w:hint="eastAsia" w:ascii="宋体" w:hAnsi="宋体"/>
          <w:b/>
          <w:bCs/>
          <w:color w:val="auto"/>
          <w:sz w:val="24"/>
        </w:rPr>
        <w:t>7.货物包装要求</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7.1 乙方所出售的全部货物均应按标准保护措施进行包装，包装应适应于远距离运输、防潮、防震、防锈和防野蛮装卸等要求，以确保货物安全无损地运抵指定现场。由于包装防护措施不妥而引起的损坏、丢失由乙方负责。</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7.2 每一个包装箱内应附一份详细装箱单、质量证书和保修保养证书。</w:t>
      </w:r>
    </w:p>
    <w:p>
      <w:pPr>
        <w:adjustRightInd w:val="0"/>
        <w:snapToGrid w:val="0"/>
        <w:spacing w:before="50" w:line="360" w:lineRule="auto"/>
        <w:jc w:val="left"/>
        <w:rPr>
          <w:rFonts w:ascii="宋体" w:hAnsi="宋体"/>
          <w:b/>
          <w:color w:val="auto"/>
          <w:sz w:val="24"/>
        </w:rPr>
      </w:pPr>
      <w:r>
        <w:rPr>
          <w:rFonts w:hint="eastAsia" w:ascii="宋体" w:hAnsi="宋体"/>
          <w:b/>
          <w:color w:val="auto"/>
          <w:sz w:val="24"/>
        </w:rPr>
        <w:t>8.运输和保险</w:t>
      </w:r>
    </w:p>
    <w:p>
      <w:pPr>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8.1乙方负责办理将货物运抵本合同第5.1条规定的交货地点的一切运输事项，相关费用应包括在合同总价中。</w:t>
      </w:r>
    </w:p>
    <w:p>
      <w:pPr>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8.2乙方应向保险公司投保以甲方为受益人的发运合同货物发票金额的110％运输一切险。</w:t>
      </w:r>
    </w:p>
    <w:p>
      <w:pPr>
        <w:adjustRightInd w:val="0"/>
        <w:snapToGrid w:val="0"/>
        <w:spacing w:before="50" w:line="360" w:lineRule="auto"/>
        <w:jc w:val="left"/>
        <w:rPr>
          <w:rFonts w:ascii="宋体" w:hAnsi="宋体"/>
          <w:b/>
          <w:color w:val="auto"/>
          <w:sz w:val="24"/>
        </w:rPr>
      </w:pPr>
      <w:r>
        <w:rPr>
          <w:rFonts w:hint="eastAsia" w:ascii="宋体" w:hAnsi="宋体"/>
          <w:b/>
          <w:color w:val="auto"/>
          <w:sz w:val="24"/>
        </w:rPr>
        <w:t>9.质量标准和保证</w:t>
      </w:r>
    </w:p>
    <w:p>
      <w:pPr>
        <w:pStyle w:val="11"/>
        <w:adjustRightInd w:val="0"/>
        <w:snapToGrid w:val="0"/>
        <w:spacing w:before="50" w:line="360" w:lineRule="auto"/>
        <w:ind w:firstLine="420" w:firstLineChars="200"/>
        <w:jc w:val="left"/>
        <w:rPr>
          <w:rFonts w:hAnsi="宋体"/>
          <w:b/>
          <w:color w:val="auto"/>
        </w:rPr>
      </w:pPr>
      <w:r>
        <w:rPr>
          <w:rFonts w:hint="eastAsia" w:hAnsi="宋体"/>
          <w:color w:val="auto"/>
        </w:rPr>
        <w:t>9.1 质量标准</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（1）本合同下交付的货物应符合招标文件第四章“技术规格、参数与要求”所述的标准。如果没有提及适用标准，则应符合中华人民共和国有关机构发布的最新版本的标准。</w:t>
      </w:r>
    </w:p>
    <w:p>
      <w:pPr>
        <w:pStyle w:val="11"/>
        <w:adjustRightInd w:val="0"/>
        <w:snapToGrid w:val="0"/>
        <w:spacing w:before="50" w:line="360" w:lineRule="auto"/>
        <w:ind w:firstLine="420" w:firstLineChars="200"/>
        <w:jc w:val="left"/>
        <w:rPr>
          <w:rFonts w:hAnsi="宋体"/>
          <w:color w:val="auto"/>
        </w:rPr>
      </w:pPr>
      <w:r>
        <w:rPr>
          <w:rFonts w:hint="eastAsia" w:hAnsi="宋体"/>
          <w:color w:val="auto"/>
        </w:rPr>
        <w:t>（2）采用中华人民共和国法定计量单位。</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（3）乙方所出售的货物还应符合国家有关安全、环保、卫生之规定。</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9.2 保证</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hint="eastAsia" w:ascii="宋体" w:hAnsi="宋体"/>
          <w:b/>
          <w:color w:val="auto"/>
          <w:szCs w:val="21"/>
        </w:rPr>
        <w:t>【采购合同专用条款】</w:t>
      </w:r>
      <w:r>
        <w:rPr>
          <w:rFonts w:hint="eastAsia" w:ascii="宋体" w:hAnsi="宋体"/>
          <w:color w:val="auto"/>
          <w:szCs w:val="21"/>
        </w:rPr>
        <w:t>规定或乙方承诺（两者以较长的为准）的质量保证期内，本保证保持有效。</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（2）在质量保证期内所发现的缺陷，甲方应尽快以书面形式通知乙方。</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（3）乙方收到通知后应在</w:t>
      </w:r>
      <w:r>
        <w:rPr>
          <w:rFonts w:hint="eastAsia" w:ascii="宋体" w:hAnsi="宋体"/>
          <w:b/>
          <w:color w:val="auto"/>
          <w:szCs w:val="21"/>
        </w:rPr>
        <w:t>【采购合同专用条款】</w:t>
      </w:r>
      <w:r>
        <w:rPr>
          <w:rFonts w:hint="eastAsia" w:ascii="宋体" w:hAnsi="宋体"/>
          <w:color w:val="auto"/>
          <w:szCs w:val="21"/>
        </w:rPr>
        <w:t>规定的响应时间内以合理的速度免费维修或更换有缺陷的货物或部件。</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（4）在质量保证期内，如果货物的质量或规格与合同不符，或证实货物是有缺陷的，包括潜在的缺陷或使用不符合要求的材料等，甲方可以根据本合同第15.1条规定以书面形式向乙方提出补救措施或索赔。</w:t>
      </w:r>
    </w:p>
    <w:p>
      <w:pPr>
        <w:adjustRightInd w:val="0"/>
        <w:snapToGrid w:val="0"/>
        <w:spacing w:before="50" w:line="360" w:lineRule="auto"/>
        <w:ind w:firstLine="420" w:firstLineChars="200"/>
        <w:jc w:val="left"/>
        <w:rPr>
          <w:rFonts w:ascii="宋体" w:hAnsi="宋体"/>
          <w:b/>
          <w:color w:val="auto"/>
          <w:szCs w:val="21"/>
        </w:rPr>
      </w:pPr>
      <w:r>
        <w:rPr>
          <w:rFonts w:hint="eastAsia" w:ascii="宋体" w:hAnsi="宋体"/>
          <w:color w:val="auto"/>
          <w:szCs w:val="21"/>
        </w:rPr>
        <w:t>（5）乙方在约定的时间内未能弥补缺陷，甲方可采取必要的补救措施，但其风险和费用将由乙方承担，甲方根据合同规定对乙方行使的其他权利不受影响。</w:t>
      </w:r>
    </w:p>
    <w:p>
      <w:pPr>
        <w:adjustRightInd w:val="0"/>
        <w:snapToGrid w:val="0"/>
        <w:spacing w:before="50" w:line="360" w:lineRule="auto"/>
        <w:jc w:val="left"/>
        <w:rPr>
          <w:rFonts w:ascii="宋体" w:hAnsi="宋体"/>
          <w:b/>
          <w:bCs/>
          <w:color w:val="auto"/>
          <w:sz w:val="24"/>
        </w:rPr>
      </w:pPr>
      <w:r>
        <w:rPr>
          <w:rFonts w:hint="eastAsia" w:ascii="宋体" w:hAnsi="宋体"/>
          <w:b/>
          <w:bCs/>
          <w:color w:val="auto"/>
          <w:sz w:val="24"/>
        </w:rPr>
        <w:t>10.权利瑕疵担保</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10.1 乙方保证对其出售的货物享有合法的权利。</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10.2 乙方保证在其出售的货物上不存在任何未曾向甲方透露的担保物权，如抵押权、质押权、留置权等。</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10.3 如甲方使用该货物构成上述侵权的，则由乙方承担全部责任。</w:t>
      </w:r>
    </w:p>
    <w:p>
      <w:pPr>
        <w:autoSpaceDE w:val="0"/>
        <w:autoSpaceDN w:val="0"/>
        <w:adjustRightInd w:val="0"/>
        <w:snapToGrid w:val="0"/>
        <w:spacing w:before="50" w:line="360" w:lineRule="auto"/>
        <w:jc w:val="left"/>
        <w:rPr>
          <w:rFonts w:ascii="宋体" w:hAnsi="宋体"/>
          <w:b/>
          <w:bCs/>
          <w:color w:val="auto"/>
          <w:sz w:val="24"/>
        </w:rPr>
      </w:pPr>
      <w:r>
        <w:rPr>
          <w:rFonts w:hint="eastAsia" w:ascii="宋体" w:hAnsi="宋体"/>
          <w:b/>
          <w:bCs/>
          <w:color w:val="auto"/>
          <w:sz w:val="24"/>
        </w:rPr>
        <w:t>11.知识产权保护</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11.1 乙方对其所销售的货物应当享有知识产权或经权利人合法授权，保证没有侵犯任何第三人的知识产权和商业秘密等权利。</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11.2 甲方使用乙方提供的货物对第三人构成侵权的，应当由乙方承担全部法律责任，给甲方造成损害的，乙方应当承担赔偿责任。</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11.3 甲方委托乙方开发的产品，甲方享有知识产权，未经甲方许可不得转让任何第三人。</w:t>
      </w:r>
    </w:p>
    <w:p>
      <w:pPr>
        <w:autoSpaceDE w:val="0"/>
        <w:autoSpaceDN w:val="0"/>
        <w:adjustRightInd w:val="0"/>
        <w:snapToGrid w:val="0"/>
        <w:spacing w:before="50" w:line="360" w:lineRule="auto"/>
        <w:jc w:val="left"/>
        <w:rPr>
          <w:rFonts w:ascii="宋体" w:hAnsi="宋体"/>
          <w:b/>
          <w:bCs/>
          <w:color w:val="auto"/>
          <w:sz w:val="24"/>
        </w:rPr>
      </w:pPr>
      <w:r>
        <w:rPr>
          <w:rFonts w:hint="eastAsia" w:ascii="宋体" w:hAnsi="宋体"/>
          <w:b/>
          <w:bCs/>
          <w:color w:val="auto"/>
          <w:sz w:val="24"/>
        </w:rPr>
        <w:t>12.保密义务</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12.1 甲、乙双方在采购和履行合同过程中所获悉的对方属于保密的内容，双方均有保密义务。</w:t>
      </w:r>
    </w:p>
    <w:p>
      <w:pPr>
        <w:autoSpaceDE w:val="0"/>
        <w:autoSpaceDN w:val="0"/>
        <w:adjustRightInd w:val="0"/>
        <w:snapToGrid w:val="0"/>
        <w:spacing w:before="50" w:line="360" w:lineRule="auto"/>
        <w:jc w:val="left"/>
        <w:rPr>
          <w:rFonts w:ascii="宋体" w:hAnsi="宋体"/>
          <w:b/>
          <w:bCs/>
          <w:color w:val="auto"/>
          <w:sz w:val="24"/>
        </w:rPr>
      </w:pPr>
      <w:r>
        <w:rPr>
          <w:rFonts w:hint="eastAsia" w:ascii="宋体" w:hAnsi="宋体"/>
          <w:b/>
          <w:bCs/>
          <w:color w:val="auto"/>
          <w:sz w:val="24"/>
        </w:rPr>
        <w:t>13.合同价款支付</w:t>
      </w:r>
    </w:p>
    <w:p>
      <w:pPr>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13.1验收合格后，乙方出具正规发票给甲方，凭甲方开具的《采购合同验收报告单》办理合同价</w:t>
      </w:r>
      <w:r>
        <w:rPr>
          <w:rFonts w:hint="eastAsia" w:ascii="宋体" w:hAnsi="宋体"/>
          <w:bCs/>
          <w:color w:val="auto"/>
          <w:szCs w:val="21"/>
        </w:rPr>
        <w:t>款</w:t>
      </w:r>
      <w:r>
        <w:rPr>
          <w:rFonts w:hint="eastAsia" w:ascii="宋体" w:hAnsi="宋体"/>
          <w:color w:val="auto"/>
          <w:szCs w:val="21"/>
        </w:rPr>
        <w:t>结算手续。</w:t>
      </w:r>
    </w:p>
    <w:p>
      <w:pPr>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13.2合同价款构成中应当由甲方自行支付的部分，甲方应当在货物验收合格后十五个工作内支付。</w:t>
      </w:r>
    </w:p>
    <w:p>
      <w:pPr>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13.3 支付合同价</w:t>
      </w:r>
      <w:r>
        <w:rPr>
          <w:rFonts w:hint="eastAsia" w:ascii="宋体" w:hAnsi="宋体"/>
          <w:bCs/>
          <w:color w:val="auto"/>
          <w:szCs w:val="21"/>
        </w:rPr>
        <w:t>款</w:t>
      </w:r>
      <w:r>
        <w:rPr>
          <w:rFonts w:hint="eastAsia" w:ascii="宋体" w:hAnsi="宋体"/>
          <w:color w:val="auto"/>
          <w:szCs w:val="21"/>
        </w:rPr>
        <w:t>时，一律不向乙方以外的任何第三方办理付款手续。开户行和账号以签订的采购合同为准，如果乙方要求变更，则乙方必须提供加盖了财务专用章、法定代表人签字的证明文件，报经甲方审查同意。</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13.</w:t>
      </w:r>
      <w:r>
        <w:rPr>
          <w:rFonts w:hint="eastAsia" w:ascii="宋体" w:hAnsi="宋体"/>
          <w:color w:val="auto"/>
          <w:szCs w:val="21"/>
          <w:lang w:val="en-US" w:eastAsia="zh-CN"/>
        </w:rPr>
        <w:t>4</w:t>
      </w:r>
      <w:r>
        <w:rPr>
          <w:rFonts w:hint="eastAsia" w:ascii="宋体" w:hAnsi="宋体"/>
          <w:color w:val="auto"/>
          <w:szCs w:val="21"/>
        </w:rPr>
        <w:t xml:space="preserve"> 合同价款支付方式</w:t>
      </w:r>
      <w:r>
        <w:rPr>
          <w:rFonts w:hint="eastAsia" w:ascii="宋体" w:hAnsi="宋体"/>
          <w:bCs/>
          <w:color w:val="auto"/>
          <w:szCs w:val="21"/>
        </w:rPr>
        <w:t>和条件在</w:t>
      </w:r>
      <w:r>
        <w:rPr>
          <w:rFonts w:hint="eastAsia" w:ascii="宋体" w:hAnsi="宋体"/>
          <w:b/>
          <w:color w:val="auto"/>
          <w:szCs w:val="21"/>
        </w:rPr>
        <w:t>【采购合同专用条款】</w:t>
      </w:r>
      <w:r>
        <w:rPr>
          <w:rFonts w:hint="eastAsia" w:ascii="宋体" w:hAnsi="宋体"/>
          <w:color w:val="auto"/>
          <w:szCs w:val="21"/>
        </w:rPr>
        <w:t>中另有规定。</w:t>
      </w:r>
    </w:p>
    <w:p>
      <w:pPr>
        <w:autoSpaceDE w:val="0"/>
        <w:autoSpaceDN w:val="0"/>
        <w:adjustRightInd w:val="0"/>
        <w:snapToGrid w:val="0"/>
        <w:spacing w:before="50" w:line="360" w:lineRule="auto"/>
        <w:jc w:val="left"/>
        <w:rPr>
          <w:rFonts w:ascii="宋体" w:hAnsi="宋体"/>
          <w:b/>
          <w:color w:val="auto"/>
          <w:sz w:val="24"/>
        </w:rPr>
      </w:pPr>
      <w:r>
        <w:rPr>
          <w:rFonts w:hint="eastAsia" w:ascii="宋体" w:hAnsi="宋体"/>
          <w:b/>
          <w:bCs/>
          <w:color w:val="auto"/>
          <w:sz w:val="24"/>
        </w:rPr>
        <w:t>14.</w:t>
      </w:r>
      <w:r>
        <w:rPr>
          <w:rFonts w:hint="eastAsia"/>
          <w:b/>
          <w:color w:val="auto"/>
          <w:sz w:val="24"/>
        </w:rPr>
        <w:t>乙方应提供的</w:t>
      </w:r>
      <w:r>
        <w:rPr>
          <w:rFonts w:hint="eastAsia" w:ascii="宋体" w:hAnsi="宋体"/>
          <w:b/>
          <w:color w:val="auto"/>
          <w:sz w:val="24"/>
        </w:rPr>
        <w:t>服务</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14.1 乙方应向甲方提交所提供货物的技术文件，包括相应的中文技术文件，如：产品目录、图纸、操作手册、使用说明、维护手册或服务指南。这些文件应包装好随同货物一起发运。</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14.2 乙方还应提供下列服务：</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（1）货物的现场移动、安装、调试、启动监督及技术支持；</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（2）提供货物组装和维修所需的专用工具和辅助材料；</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（3）在合同各方商定的一定期限内对所有的货物实施运行监督、维修，但前提条件是该服务并不能免除乙方在质量保证期内所承担的义务；</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（4）在制造商或项目现场就货物的安装、启动、运营、维护对甲方操作人员进行培训；</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（5）</w:t>
      </w:r>
      <w:r>
        <w:rPr>
          <w:rFonts w:hint="eastAsia" w:ascii="宋体" w:hAnsi="宋体"/>
          <w:b/>
          <w:color w:val="auto"/>
          <w:szCs w:val="21"/>
        </w:rPr>
        <w:t>【采购合同专用条款】</w:t>
      </w:r>
      <w:r>
        <w:rPr>
          <w:rFonts w:hint="eastAsia" w:ascii="宋体" w:hAnsi="宋体"/>
          <w:color w:val="auto"/>
          <w:szCs w:val="21"/>
        </w:rPr>
        <w:t>规定由乙方提供的其他服务。</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14.3 乙方提供的服务的费用应包含在合同价款中，甲方不再另行支付。</w:t>
      </w:r>
    </w:p>
    <w:p>
      <w:pPr>
        <w:adjustRightInd w:val="0"/>
        <w:snapToGrid w:val="0"/>
        <w:spacing w:before="50" w:line="360" w:lineRule="auto"/>
        <w:jc w:val="left"/>
        <w:rPr>
          <w:rFonts w:ascii="宋体" w:hAnsi="宋体"/>
          <w:b/>
          <w:bCs/>
          <w:color w:val="auto"/>
          <w:sz w:val="24"/>
        </w:rPr>
      </w:pPr>
      <w:r>
        <w:rPr>
          <w:rFonts w:hint="eastAsia" w:ascii="宋体" w:hAnsi="宋体"/>
          <w:b/>
          <w:bCs/>
          <w:color w:val="auto"/>
          <w:sz w:val="24"/>
        </w:rPr>
        <w:t>15.违约责任</w:t>
      </w:r>
    </w:p>
    <w:p>
      <w:pPr>
        <w:adjustRightInd w:val="0"/>
        <w:snapToGrid w:val="0"/>
        <w:spacing w:before="50" w:line="360" w:lineRule="auto"/>
        <w:ind w:firstLine="420" w:firstLineChars="200"/>
        <w:jc w:val="left"/>
        <w:rPr>
          <w:rFonts w:ascii="宋体" w:hAnsi="宋体"/>
          <w:bCs/>
          <w:color w:val="auto"/>
          <w:szCs w:val="21"/>
        </w:rPr>
      </w:pPr>
      <w:r>
        <w:rPr>
          <w:rFonts w:hint="eastAsia" w:ascii="宋体" w:hAnsi="宋体"/>
          <w:bCs/>
          <w:color w:val="auto"/>
          <w:szCs w:val="21"/>
        </w:rPr>
        <w:t>15.1质量瑕疵的补救措施和索赔</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①乙方同意退货并将货款退还给甲方，由此发生的一切费用和损失由乙方承担。</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②根据货物的质量状况以及甲方所遭受的损失，经过甲乙双方商定降低货物的价格。</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pPr>
        <w:autoSpaceDE w:val="0"/>
        <w:autoSpaceDN w:val="0"/>
        <w:adjustRightInd w:val="0"/>
        <w:snapToGrid w:val="0"/>
        <w:spacing w:before="50" w:line="360" w:lineRule="auto"/>
        <w:ind w:firstLine="420" w:firstLineChars="200"/>
        <w:jc w:val="left"/>
        <w:rPr>
          <w:rFonts w:ascii="宋体" w:hAnsi="宋体"/>
          <w:bCs/>
          <w:color w:val="auto"/>
          <w:szCs w:val="21"/>
        </w:rPr>
      </w:pPr>
      <w:r>
        <w:rPr>
          <w:rFonts w:hint="eastAsia" w:ascii="宋体" w:hAnsi="宋体"/>
          <w:bCs/>
          <w:color w:val="auto"/>
          <w:szCs w:val="21"/>
        </w:rPr>
        <w:t>15.2 迟延交货的违约责任</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（2）除本合同</w:t>
      </w:r>
      <w:r>
        <w:rPr>
          <w:rFonts w:hint="eastAsia" w:ascii="宋体" w:hAnsi="宋体"/>
          <w:bCs/>
          <w:color w:val="auto"/>
          <w:szCs w:val="21"/>
        </w:rPr>
        <w:t>第20条</w:t>
      </w:r>
      <w:r>
        <w:rPr>
          <w:rFonts w:hint="eastAsia" w:ascii="宋体" w:hAnsi="宋体"/>
          <w:color w:val="auto"/>
          <w:szCs w:val="21"/>
        </w:rPr>
        <w:t>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3）如果乙方迟延交货，甲方有权终止全部或部分合同，并依其认为适当的条件和方法购买与未交货物类似的货物，乙方应对购买类似货物所超出的那部分费用负责。但是，乙方应继续执行合同中未终止的部分。</w:t>
      </w:r>
    </w:p>
    <w:p>
      <w:pPr>
        <w:autoSpaceDE w:val="0"/>
        <w:autoSpaceDN w:val="0"/>
        <w:adjustRightInd w:val="0"/>
        <w:snapToGrid w:val="0"/>
        <w:spacing w:before="50" w:line="360" w:lineRule="auto"/>
        <w:jc w:val="left"/>
        <w:rPr>
          <w:rFonts w:ascii="宋体" w:hAnsi="宋体"/>
          <w:b/>
          <w:color w:val="auto"/>
          <w:sz w:val="24"/>
        </w:rPr>
      </w:pPr>
      <w:r>
        <w:rPr>
          <w:rFonts w:hint="eastAsia" w:ascii="宋体" w:hAnsi="宋体"/>
          <w:b/>
          <w:color w:val="auto"/>
          <w:sz w:val="24"/>
        </w:rPr>
        <w:t>16.合同的变更</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16.1 在合同履行过程中，甲、乙双方可就合同履行的时间、地点和方式等协商进行变更。协商一致后，双方应签订书面的补充协议。</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16.2 在不改变合同其他条款的前提下，甲方有权在合同价款百分之十的范围内追加与合同标的相同的货物或服务，并就此与乙方签订补充合同，乙方不得拒绝。</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16.3 除双方签署书面协议，并成为合同不可分割的一部分外，本合同条件不得有任何变更。</w:t>
      </w:r>
    </w:p>
    <w:p>
      <w:pPr>
        <w:autoSpaceDE w:val="0"/>
        <w:autoSpaceDN w:val="0"/>
        <w:adjustRightInd w:val="0"/>
        <w:snapToGrid w:val="0"/>
        <w:spacing w:before="50" w:line="360" w:lineRule="auto"/>
        <w:jc w:val="left"/>
        <w:rPr>
          <w:rFonts w:ascii="宋体" w:hAnsi="宋体"/>
          <w:b/>
          <w:color w:val="auto"/>
          <w:sz w:val="24"/>
        </w:rPr>
      </w:pPr>
      <w:r>
        <w:rPr>
          <w:rFonts w:hint="eastAsia" w:ascii="宋体" w:hAnsi="宋体"/>
          <w:b/>
          <w:color w:val="auto"/>
          <w:sz w:val="24"/>
        </w:rPr>
        <w:t>17.合同中止与终止</w:t>
      </w:r>
    </w:p>
    <w:p>
      <w:pPr>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17.1合同的中止</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（1）合同在履行过程中，因采购计划调整，甲方可以要求中止履行，待计划确定后继续履行；</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（2）合同履行过程中因供应商就采购过程或结果提起投诉的，甲方认为有必要或财政部门责令中止的，应当中止合同的履行。</w:t>
      </w:r>
    </w:p>
    <w:p>
      <w:pPr>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17.2合同的终止</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（1）合同因有效期限届满而终止；</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（2）乙方未能依照本合同约定条件履行合同，已构成根本性违约的，甲方有权终止本合同，并追究乙方的违约责任。</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（3）如果乙方丧失履约能力或被宣告破产，甲方可在任何时候以书面形式通知乙方终止合同而不给乙方补偿。</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（4）如果乙方在履行合同过程中有不正当竞争行为，甲方有权解除合同，并按《中华人民共和国反不正当竞争法》规定由有关部门追究其法律责任。</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（5）如果合同的履行将损害国家利益或社会公共利益，甲方有权终止合同的履行，给乙方造成损失的予以相应补偿。</w:t>
      </w:r>
    </w:p>
    <w:p>
      <w:pPr>
        <w:autoSpaceDE w:val="0"/>
        <w:autoSpaceDN w:val="0"/>
        <w:adjustRightInd w:val="0"/>
        <w:snapToGrid w:val="0"/>
        <w:spacing w:before="50" w:line="360" w:lineRule="auto"/>
        <w:jc w:val="left"/>
        <w:rPr>
          <w:rFonts w:ascii="宋体" w:hAnsi="宋体"/>
          <w:b/>
          <w:bCs/>
          <w:color w:val="auto"/>
          <w:sz w:val="24"/>
        </w:rPr>
      </w:pPr>
      <w:r>
        <w:rPr>
          <w:rFonts w:hint="eastAsia" w:ascii="宋体" w:hAnsi="宋体"/>
          <w:b/>
          <w:bCs/>
          <w:color w:val="auto"/>
          <w:sz w:val="24"/>
        </w:rPr>
        <w:t>18.合同转让和分包</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18.1 乙方不得以任何形式将合同转包。</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18.2 乙方未在投标文件中说明，不得将</w:t>
      </w:r>
      <w:r>
        <w:rPr>
          <w:rFonts w:hint="eastAsia" w:ascii="宋体" w:hAnsi="宋体"/>
          <w:bCs/>
          <w:color w:val="auto"/>
          <w:szCs w:val="21"/>
        </w:rPr>
        <w:t>合同</w:t>
      </w:r>
      <w:r>
        <w:rPr>
          <w:rFonts w:hint="eastAsia" w:ascii="宋体" w:hAnsi="宋体"/>
          <w:color w:val="auto"/>
          <w:szCs w:val="21"/>
        </w:rPr>
        <w:t>的非主体、非关键性工作分包给他人。</w:t>
      </w:r>
    </w:p>
    <w:p>
      <w:pPr>
        <w:autoSpaceDE w:val="0"/>
        <w:autoSpaceDN w:val="0"/>
        <w:adjustRightInd w:val="0"/>
        <w:snapToGrid w:val="0"/>
        <w:spacing w:before="50" w:line="360" w:lineRule="auto"/>
        <w:jc w:val="left"/>
        <w:rPr>
          <w:rFonts w:ascii="宋体" w:hAnsi="宋体"/>
          <w:b/>
          <w:bCs/>
          <w:color w:val="auto"/>
          <w:sz w:val="24"/>
        </w:rPr>
      </w:pPr>
      <w:r>
        <w:rPr>
          <w:rFonts w:hint="eastAsia" w:ascii="宋体" w:hAnsi="宋体"/>
          <w:b/>
          <w:bCs/>
          <w:color w:val="auto"/>
          <w:sz w:val="24"/>
        </w:rPr>
        <w:t>19.不可抗力</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19.1 不可抗力是指合同双方不可预见、不可避免、不可克服的自然灾害和社会事件。</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19.2 任何一方对由于不可抗力造成的部分或全部不能履行合同不承担违约责任。但迟延履行后发生不可抗力的，不能免除责任。</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19.3 遇有不可抗力的一方，应在三日内将事件的情况以书面形式通知另一方，并在事件发生后十日内，向另一方提交合同不能履行或部分不能履行或需要延期履行理由的报告。</w:t>
      </w:r>
    </w:p>
    <w:p>
      <w:pPr>
        <w:autoSpaceDE w:val="0"/>
        <w:autoSpaceDN w:val="0"/>
        <w:adjustRightInd w:val="0"/>
        <w:snapToGrid w:val="0"/>
        <w:spacing w:before="50" w:line="360" w:lineRule="auto"/>
        <w:jc w:val="left"/>
        <w:rPr>
          <w:rFonts w:ascii="宋体" w:hAnsi="宋体"/>
          <w:b/>
          <w:bCs/>
          <w:color w:val="auto"/>
          <w:sz w:val="24"/>
        </w:rPr>
      </w:pPr>
      <w:r>
        <w:rPr>
          <w:rFonts w:hint="eastAsia" w:ascii="宋体" w:hAnsi="宋体"/>
          <w:b/>
          <w:bCs/>
          <w:color w:val="auto"/>
          <w:sz w:val="24"/>
        </w:rPr>
        <w:t>20.解决争议的方法</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20.1 合同各方应通过友好协商，解决在执行合同过程中所发生的或与合同有关的一切争端。如从协商开始后十日内仍不能解决，可以向财政部门提请调解。</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20.2 调解不成可以按</w:t>
      </w:r>
      <w:r>
        <w:rPr>
          <w:rFonts w:hint="eastAsia" w:ascii="宋体" w:hAnsi="宋体"/>
          <w:b/>
          <w:color w:val="auto"/>
          <w:szCs w:val="21"/>
        </w:rPr>
        <w:t>【采购合同专用条款】</w:t>
      </w:r>
      <w:r>
        <w:rPr>
          <w:rFonts w:hint="eastAsia" w:ascii="宋体" w:hAnsi="宋体"/>
          <w:color w:val="auto"/>
          <w:szCs w:val="21"/>
        </w:rPr>
        <w:t>中约定中规定下列方式之一提起仲裁或诉讼：</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（1）向甲方所在地仲裁机构提起仲裁；</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（2）向甲方所在地人民法院提起诉讼。</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20.3 如仲裁或诉讼事项不影响合同其它部分的履行，则在仲裁或诉讼期间，除正在进行仲裁或诉讼的部分外，合同的其它部分应继续执行。</w:t>
      </w:r>
    </w:p>
    <w:p>
      <w:pPr>
        <w:autoSpaceDE w:val="0"/>
        <w:autoSpaceDN w:val="0"/>
        <w:adjustRightInd w:val="0"/>
        <w:snapToGrid w:val="0"/>
        <w:spacing w:before="50" w:line="360" w:lineRule="auto"/>
        <w:jc w:val="left"/>
        <w:rPr>
          <w:rFonts w:ascii="宋体" w:hAnsi="宋体"/>
          <w:b/>
          <w:color w:val="auto"/>
          <w:sz w:val="24"/>
        </w:rPr>
      </w:pPr>
      <w:r>
        <w:rPr>
          <w:rFonts w:hint="eastAsia" w:ascii="宋体" w:hAnsi="宋体"/>
          <w:b/>
          <w:color w:val="auto"/>
          <w:sz w:val="24"/>
        </w:rPr>
        <w:t>21.法律适用</w:t>
      </w:r>
    </w:p>
    <w:p>
      <w:pPr>
        <w:autoSpaceDE w:val="0"/>
        <w:autoSpaceDN w:val="0"/>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21.1 本合同适用中华人民共和国现行法律、行政法规和规章，如合同条款与法律、行政法规和规章不一致的，按照法律、行政法规和规章修改本合同。</w:t>
      </w:r>
    </w:p>
    <w:p>
      <w:pPr>
        <w:autoSpaceDE w:val="0"/>
        <w:autoSpaceDN w:val="0"/>
        <w:adjustRightInd w:val="0"/>
        <w:snapToGrid w:val="0"/>
        <w:spacing w:before="50" w:line="360" w:lineRule="auto"/>
        <w:jc w:val="left"/>
        <w:rPr>
          <w:rFonts w:ascii="宋体" w:hAnsi="宋体"/>
          <w:b/>
          <w:color w:val="auto"/>
          <w:sz w:val="24"/>
        </w:rPr>
      </w:pPr>
      <w:r>
        <w:rPr>
          <w:rFonts w:hint="eastAsia" w:ascii="宋体" w:hAnsi="宋体"/>
          <w:b/>
          <w:bCs/>
          <w:color w:val="auto"/>
          <w:sz w:val="24"/>
        </w:rPr>
        <w:t>22.</w:t>
      </w:r>
      <w:r>
        <w:rPr>
          <w:rFonts w:hint="eastAsia" w:ascii="宋体" w:hAnsi="宋体"/>
          <w:b/>
          <w:color w:val="auto"/>
          <w:sz w:val="24"/>
        </w:rPr>
        <w:t>通知</w:t>
      </w:r>
    </w:p>
    <w:p>
      <w:pPr>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22.1本合同一方给另一方的通知均应采用书面形式，传真或快递送到本合同中规定的对方的地址和办理签收手续，</w:t>
      </w:r>
    </w:p>
    <w:p>
      <w:pPr>
        <w:adjustRightInd w:val="0"/>
        <w:snapToGrid w:val="0"/>
        <w:spacing w:before="50" w:line="360" w:lineRule="auto"/>
        <w:ind w:firstLine="420" w:firstLineChars="200"/>
        <w:jc w:val="left"/>
        <w:rPr>
          <w:rFonts w:ascii="宋体" w:hAnsi="宋体"/>
          <w:color w:val="auto"/>
          <w:szCs w:val="21"/>
        </w:rPr>
      </w:pPr>
      <w:r>
        <w:rPr>
          <w:rFonts w:hint="eastAsia" w:ascii="宋体" w:hAnsi="宋体"/>
          <w:color w:val="auto"/>
          <w:szCs w:val="21"/>
        </w:rPr>
        <w:t>22.2通知以送到之日或通知书中规定的生效之日起生效，两者中以较迟之日为准。</w:t>
      </w:r>
    </w:p>
    <w:p>
      <w:pPr>
        <w:adjustRightInd w:val="0"/>
        <w:snapToGrid w:val="0"/>
        <w:spacing w:before="50" w:line="360" w:lineRule="auto"/>
        <w:jc w:val="left"/>
        <w:rPr>
          <w:rFonts w:ascii="宋体" w:hAnsi="宋体"/>
          <w:b/>
          <w:bCs/>
          <w:color w:val="auto"/>
          <w:sz w:val="24"/>
        </w:rPr>
      </w:pPr>
      <w:r>
        <w:rPr>
          <w:rFonts w:hint="eastAsia" w:ascii="宋体" w:hAnsi="宋体"/>
          <w:b/>
          <w:bCs/>
          <w:color w:val="auto"/>
          <w:sz w:val="24"/>
        </w:rPr>
        <w:t>23. 合同未尽事项</w:t>
      </w:r>
    </w:p>
    <w:p>
      <w:pPr>
        <w:adjustRightInd w:val="0"/>
        <w:snapToGrid w:val="0"/>
        <w:spacing w:before="50" w:line="360" w:lineRule="auto"/>
        <w:ind w:firstLine="420" w:firstLineChars="200"/>
        <w:jc w:val="left"/>
        <w:rPr>
          <w:rFonts w:ascii="宋体" w:hAnsi="宋体"/>
          <w:bCs/>
          <w:color w:val="auto"/>
          <w:szCs w:val="21"/>
        </w:rPr>
      </w:pPr>
      <w:r>
        <w:rPr>
          <w:rFonts w:hint="eastAsia" w:ascii="宋体" w:hAnsi="宋体"/>
          <w:bCs/>
          <w:color w:val="auto"/>
          <w:szCs w:val="21"/>
        </w:rPr>
        <w:t>23.1合同未尽事项见</w:t>
      </w:r>
      <w:r>
        <w:rPr>
          <w:rFonts w:hint="eastAsia" w:ascii="宋体" w:hAnsi="宋体"/>
          <w:b/>
          <w:color w:val="auto"/>
          <w:szCs w:val="21"/>
        </w:rPr>
        <w:t>【采购合同专用条款】。</w:t>
      </w:r>
    </w:p>
    <w:p>
      <w:pPr>
        <w:adjustRightInd w:val="0"/>
        <w:snapToGrid w:val="0"/>
        <w:spacing w:before="50" w:line="360" w:lineRule="auto"/>
        <w:jc w:val="left"/>
        <w:rPr>
          <w:rFonts w:ascii="宋体" w:hAnsi="宋体"/>
          <w:b/>
          <w:bCs/>
          <w:color w:val="auto"/>
          <w:sz w:val="24"/>
        </w:rPr>
      </w:pPr>
      <w:r>
        <w:rPr>
          <w:rFonts w:hint="eastAsia" w:ascii="宋体" w:hAnsi="宋体"/>
          <w:b/>
          <w:bCs/>
          <w:color w:val="auto"/>
          <w:sz w:val="24"/>
        </w:rPr>
        <w:t>24.合同生效</w:t>
      </w:r>
    </w:p>
    <w:p>
      <w:pPr>
        <w:adjustRightInd w:val="0"/>
        <w:snapToGrid w:val="0"/>
        <w:spacing w:before="50" w:line="360" w:lineRule="auto"/>
        <w:ind w:firstLine="420" w:firstLineChars="200"/>
        <w:jc w:val="left"/>
        <w:rPr>
          <w:rFonts w:hint="eastAsia" w:ascii="宋体" w:hAnsi="宋体"/>
          <w:bCs/>
          <w:color w:val="auto"/>
          <w:szCs w:val="21"/>
        </w:rPr>
      </w:pPr>
      <w:r>
        <w:rPr>
          <w:rFonts w:hint="eastAsia" w:ascii="宋体" w:hAnsi="宋体"/>
          <w:bCs/>
          <w:color w:val="auto"/>
          <w:szCs w:val="21"/>
        </w:rPr>
        <w:t>24.1 本合同在合同双方签字盖章后生效。</w:t>
      </w:r>
      <w:bookmarkEnd w:id="0"/>
    </w:p>
    <w:p>
      <w:pPr>
        <w:tabs>
          <w:tab w:val="left" w:pos="8820"/>
          <w:tab w:val="left" w:pos="9345"/>
          <w:tab w:val="left" w:pos="9765"/>
        </w:tabs>
        <w:adjustRightInd w:val="0"/>
        <w:snapToGrid w:val="0"/>
        <w:spacing w:beforeLines="50" w:line="360" w:lineRule="auto"/>
        <w:ind w:right="384" w:rightChars="183"/>
        <w:rPr>
          <w:rFonts w:hint="eastAsia" w:ascii="黑体" w:hAnsi="华文中宋" w:eastAsia="黑体"/>
          <w:b/>
          <w:bCs/>
          <w:color w:val="auto"/>
          <w:sz w:val="32"/>
          <w:szCs w:val="32"/>
        </w:rPr>
      </w:pPr>
    </w:p>
    <w:p>
      <w:pPr>
        <w:pStyle w:val="2"/>
        <w:rPr>
          <w:rFonts w:hint="eastAsia" w:ascii="黑体" w:hAnsi="华文中宋" w:eastAsia="黑体"/>
          <w:b/>
          <w:bCs/>
          <w:color w:val="auto"/>
          <w:sz w:val="32"/>
          <w:szCs w:val="32"/>
        </w:rPr>
      </w:pPr>
    </w:p>
    <w:p>
      <w:pPr>
        <w:pStyle w:val="3"/>
        <w:rPr>
          <w:rFonts w:hint="eastAsia" w:ascii="黑体" w:hAnsi="华文中宋" w:eastAsia="黑体"/>
          <w:b/>
          <w:bCs/>
          <w:color w:val="auto"/>
          <w:sz w:val="32"/>
          <w:szCs w:val="32"/>
        </w:rPr>
      </w:pPr>
    </w:p>
    <w:p>
      <w:pPr>
        <w:pStyle w:val="4"/>
        <w:rPr>
          <w:rFonts w:hint="eastAsia" w:ascii="黑体" w:hAnsi="华文中宋" w:eastAsia="黑体"/>
          <w:b/>
          <w:bCs/>
          <w:color w:val="auto"/>
          <w:sz w:val="32"/>
          <w:szCs w:val="32"/>
        </w:rPr>
      </w:pPr>
    </w:p>
    <w:p>
      <w:pPr>
        <w:rPr>
          <w:rFonts w:hint="eastAsia" w:ascii="黑体" w:hAnsi="华文中宋" w:eastAsia="黑体"/>
          <w:b/>
          <w:bCs/>
          <w:color w:val="auto"/>
          <w:sz w:val="32"/>
          <w:szCs w:val="32"/>
        </w:rPr>
      </w:pPr>
    </w:p>
    <w:p>
      <w:pPr>
        <w:pStyle w:val="2"/>
        <w:rPr>
          <w:rFonts w:hint="eastAsia" w:ascii="黑体" w:hAnsi="华文中宋" w:eastAsia="黑体"/>
          <w:b/>
          <w:bCs/>
          <w:color w:val="auto"/>
          <w:sz w:val="32"/>
          <w:szCs w:val="32"/>
        </w:rPr>
      </w:pPr>
    </w:p>
    <w:p>
      <w:pPr>
        <w:pStyle w:val="3"/>
        <w:rPr>
          <w:rFonts w:hint="eastAsia"/>
          <w:color w:val="auto"/>
        </w:rPr>
      </w:pPr>
    </w:p>
    <w:p>
      <w:pPr>
        <w:tabs>
          <w:tab w:val="left" w:pos="8820"/>
          <w:tab w:val="left" w:pos="9345"/>
          <w:tab w:val="left" w:pos="9765"/>
        </w:tabs>
        <w:adjustRightInd w:val="0"/>
        <w:snapToGrid w:val="0"/>
        <w:spacing w:beforeLines="50" w:line="360" w:lineRule="auto"/>
        <w:ind w:right="384" w:rightChars="183"/>
        <w:rPr>
          <w:rFonts w:ascii="黑体" w:hAnsi="华文中宋" w:eastAsia="黑体"/>
          <w:b/>
          <w:bCs/>
          <w:color w:val="auto"/>
          <w:sz w:val="32"/>
          <w:szCs w:val="32"/>
        </w:rPr>
      </w:pPr>
      <w:r>
        <w:rPr>
          <w:rFonts w:hint="eastAsia" w:ascii="黑体" w:hAnsi="华文中宋" w:eastAsia="黑体"/>
          <w:b/>
          <w:bCs/>
          <w:color w:val="auto"/>
          <w:sz w:val="32"/>
          <w:szCs w:val="32"/>
        </w:rPr>
        <w:t>三、采购合同专用条款</w:t>
      </w:r>
    </w:p>
    <w:p>
      <w:pPr>
        <w:snapToGrid w:val="0"/>
        <w:spacing w:after="120"/>
        <w:ind w:left="105" w:leftChars="50"/>
        <w:jc w:val="center"/>
        <w:rPr>
          <w:rFonts w:ascii="黑体" w:hAnsi="华文中宋" w:eastAsia="黑体"/>
          <w:b/>
          <w:bCs/>
          <w:color w:val="auto"/>
          <w:sz w:val="28"/>
          <w:szCs w:val="28"/>
        </w:rPr>
      </w:pPr>
      <w:r>
        <w:rPr>
          <w:rFonts w:hint="eastAsia" w:ascii="黑体" w:hAnsi="华文中宋" w:eastAsia="黑体"/>
          <w:b/>
          <w:bCs/>
          <w:color w:val="auto"/>
          <w:sz w:val="28"/>
          <w:szCs w:val="28"/>
        </w:rPr>
        <w:t>采购合同专用条款</w:t>
      </w:r>
    </w:p>
    <w:tbl>
      <w:tblPr>
        <w:tblStyle w:val="19"/>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1843"/>
        <w:gridCol w:w="546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noWrap w:val="0"/>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本章第二节</w:t>
            </w:r>
          </w:p>
          <w:p>
            <w:pPr>
              <w:adjustRightInd w:val="0"/>
              <w:snapToGrid w:val="0"/>
              <w:spacing w:line="360" w:lineRule="auto"/>
              <w:jc w:val="center"/>
              <w:rPr>
                <w:rFonts w:ascii="宋体" w:hAnsi="宋体"/>
                <w:color w:val="auto"/>
                <w:szCs w:val="21"/>
              </w:rPr>
            </w:pPr>
            <w:r>
              <w:rPr>
                <w:rFonts w:hint="eastAsia" w:ascii="宋体" w:hAnsi="宋体"/>
                <w:color w:val="auto"/>
                <w:szCs w:val="21"/>
              </w:rPr>
              <w:t>第1.1款</w:t>
            </w:r>
          </w:p>
        </w:tc>
        <w:tc>
          <w:tcPr>
            <w:tcW w:w="1843" w:type="dxa"/>
            <w:noWrap w:val="0"/>
            <w:vAlign w:val="center"/>
          </w:tcPr>
          <w:p>
            <w:pPr>
              <w:adjustRightInd w:val="0"/>
              <w:snapToGrid w:val="0"/>
              <w:spacing w:line="360" w:lineRule="auto"/>
              <w:jc w:val="left"/>
              <w:rPr>
                <w:rFonts w:ascii="宋体" w:hAnsi="宋体"/>
                <w:color w:val="auto"/>
                <w:szCs w:val="21"/>
              </w:rPr>
            </w:pPr>
            <w:r>
              <w:rPr>
                <w:rFonts w:hint="eastAsia" w:ascii="宋体" w:hAnsi="宋体"/>
                <w:color w:val="auto"/>
                <w:szCs w:val="21"/>
              </w:rPr>
              <w:t xml:space="preserve">甲方名称、地址 </w:t>
            </w:r>
          </w:p>
        </w:tc>
        <w:tc>
          <w:tcPr>
            <w:tcW w:w="5464" w:type="dxa"/>
            <w:noWrap w:val="0"/>
            <w:vAlign w:val="center"/>
          </w:tcPr>
          <w:p>
            <w:pPr>
              <w:adjustRightInd w:val="0"/>
              <w:snapToGrid w:val="0"/>
              <w:spacing w:line="360" w:lineRule="auto"/>
              <w:jc w:val="left"/>
              <w:rPr>
                <w:color w:val="auto"/>
              </w:rPr>
            </w:pPr>
            <w:r>
              <w:rPr>
                <w:rFonts w:hint="eastAsia"/>
                <w:color w:val="auto"/>
              </w:rPr>
              <w:t>甲方名称：</w:t>
            </w:r>
            <w:r>
              <w:rPr>
                <w:rFonts w:hint="eastAsia"/>
                <w:color w:val="auto"/>
                <w:lang w:eastAsia="zh-CN"/>
              </w:rPr>
              <w:t>娄底职业技术学院</w:t>
            </w:r>
          </w:p>
          <w:p>
            <w:pPr>
              <w:pStyle w:val="3"/>
              <w:rPr>
                <w:color w:val="auto"/>
              </w:rPr>
            </w:pPr>
            <w:r>
              <w:rPr>
                <w:rFonts w:hint="eastAsia" w:ascii="Times New Roman" w:eastAsia="宋体"/>
                <w:color w:val="auto"/>
                <w:kern w:val="2"/>
                <w:sz w:val="21"/>
                <w:szCs w:val="24"/>
              </w:rPr>
              <w:t>地址：</w:t>
            </w:r>
            <w:r>
              <w:rPr>
                <w:rFonts w:hint="eastAsia" w:ascii="Times New Roman" w:eastAsia="宋体"/>
                <w:color w:val="auto"/>
                <w:kern w:val="2"/>
                <w:sz w:val="21"/>
                <w:szCs w:val="24"/>
                <w:lang w:eastAsia="zh-CN"/>
              </w:rPr>
              <w:t>娄底市月塘街727号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noWrap w:val="0"/>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本章第二节</w:t>
            </w:r>
          </w:p>
          <w:p>
            <w:pPr>
              <w:adjustRightInd w:val="0"/>
              <w:snapToGrid w:val="0"/>
              <w:spacing w:line="360" w:lineRule="auto"/>
              <w:jc w:val="center"/>
              <w:rPr>
                <w:rFonts w:ascii="宋体" w:hAnsi="宋体"/>
                <w:color w:val="auto"/>
                <w:szCs w:val="21"/>
              </w:rPr>
            </w:pPr>
            <w:r>
              <w:rPr>
                <w:rFonts w:hint="eastAsia" w:ascii="宋体" w:hAnsi="宋体"/>
                <w:color w:val="auto"/>
                <w:szCs w:val="21"/>
              </w:rPr>
              <w:t>第1.2（6）项</w:t>
            </w:r>
          </w:p>
        </w:tc>
        <w:tc>
          <w:tcPr>
            <w:tcW w:w="1843" w:type="dxa"/>
            <w:noWrap w:val="0"/>
            <w:vAlign w:val="center"/>
          </w:tcPr>
          <w:p>
            <w:pPr>
              <w:adjustRightInd w:val="0"/>
              <w:snapToGrid w:val="0"/>
              <w:spacing w:line="360" w:lineRule="auto"/>
              <w:jc w:val="left"/>
              <w:rPr>
                <w:rFonts w:ascii="宋体" w:hAnsi="宋体"/>
                <w:color w:val="auto"/>
                <w:szCs w:val="21"/>
              </w:rPr>
            </w:pPr>
            <w:r>
              <w:rPr>
                <w:rFonts w:hint="eastAsia" w:ascii="宋体" w:hAnsi="宋体"/>
                <w:color w:val="auto"/>
                <w:szCs w:val="21"/>
              </w:rPr>
              <w:t>项目现场</w:t>
            </w:r>
          </w:p>
        </w:tc>
        <w:tc>
          <w:tcPr>
            <w:tcW w:w="5464" w:type="dxa"/>
            <w:noWrap w:val="0"/>
            <w:vAlign w:val="center"/>
          </w:tcPr>
          <w:p>
            <w:pPr>
              <w:adjustRightInd w:val="0"/>
              <w:snapToGrid w:val="0"/>
              <w:spacing w:line="360" w:lineRule="auto"/>
              <w:jc w:val="left"/>
              <w:rPr>
                <w:rFonts w:ascii="宋体" w:hAnsi="宋体"/>
                <w:color w:val="auto"/>
                <w:szCs w:val="21"/>
              </w:rPr>
            </w:pPr>
            <w:r>
              <w:rPr>
                <w:rFonts w:hint="eastAsia" w:ascii="宋体" w:hAnsi="宋体" w:cs="宋体"/>
                <w:color w:val="auto"/>
                <w:szCs w:val="21"/>
              </w:rPr>
              <w:t>按采购人要求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noWrap w:val="0"/>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本章第二节</w:t>
            </w:r>
          </w:p>
          <w:p>
            <w:pPr>
              <w:adjustRightInd w:val="0"/>
              <w:snapToGrid w:val="0"/>
              <w:spacing w:line="360" w:lineRule="auto"/>
              <w:jc w:val="center"/>
              <w:rPr>
                <w:rFonts w:ascii="宋体" w:hAnsi="宋体"/>
                <w:color w:val="auto"/>
                <w:szCs w:val="21"/>
              </w:rPr>
            </w:pPr>
            <w:r>
              <w:rPr>
                <w:rFonts w:hint="eastAsia" w:ascii="宋体" w:hAnsi="宋体"/>
                <w:color w:val="auto"/>
                <w:szCs w:val="21"/>
              </w:rPr>
              <w:t>第5.1款</w:t>
            </w:r>
          </w:p>
        </w:tc>
        <w:tc>
          <w:tcPr>
            <w:tcW w:w="1843" w:type="dxa"/>
            <w:noWrap w:val="0"/>
            <w:vAlign w:val="center"/>
          </w:tcPr>
          <w:p>
            <w:pPr>
              <w:adjustRightInd w:val="0"/>
              <w:snapToGrid w:val="0"/>
              <w:spacing w:line="360" w:lineRule="auto"/>
              <w:jc w:val="left"/>
              <w:rPr>
                <w:rFonts w:hint="eastAsia" w:ascii="宋体" w:hAnsi="宋体" w:eastAsia="宋体"/>
                <w:color w:val="auto"/>
                <w:szCs w:val="21"/>
                <w:lang w:val="en-US" w:eastAsia="zh-CN"/>
              </w:rPr>
            </w:pPr>
            <w:r>
              <w:rPr>
                <w:rFonts w:hint="eastAsia" w:ascii="宋体" w:hAnsi="宋体"/>
                <w:color w:val="auto"/>
                <w:szCs w:val="21"/>
              </w:rPr>
              <w:t>履行合同的地点</w:t>
            </w:r>
            <w:r>
              <w:rPr>
                <w:rFonts w:hint="eastAsia" w:ascii="宋体" w:hAnsi="宋体"/>
                <w:color w:val="auto"/>
                <w:szCs w:val="21"/>
                <w:lang w:eastAsia="zh-CN"/>
              </w:rPr>
              <w:t>、</w:t>
            </w:r>
            <w:r>
              <w:rPr>
                <w:rFonts w:hint="eastAsia" w:ascii="宋体" w:hAnsi="宋体"/>
                <w:color w:val="auto"/>
                <w:szCs w:val="21"/>
              </w:rPr>
              <w:t>时间及</w:t>
            </w:r>
            <w:r>
              <w:rPr>
                <w:rFonts w:hint="eastAsia" w:ascii="宋体" w:hAnsi="宋体"/>
                <w:color w:val="auto"/>
                <w:szCs w:val="21"/>
                <w:lang w:val="en-US" w:eastAsia="zh-CN"/>
              </w:rPr>
              <w:t>验货要求</w:t>
            </w:r>
          </w:p>
        </w:tc>
        <w:tc>
          <w:tcPr>
            <w:tcW w:w="5464" w:type="dxa"/>
            <w:noWrap w:val="0"/>
            <w:vAlign w:val="center"/>
          </w:tcPr>
          <w:p>
            <w:pPr>
              <w:adjustRightInd w:val="0"/>
              <w:snapToGrid w:val="0"/>
              <w:spacing w:line="360" w:lineRule="auto"/>
              <w:jc w:val="left"/>
              <w:rPr>
                <w:rFonts w:hint="eastAsia" w:ascii="宋体" w:hAnsi="宋体"/>
                <w:color w:val="auto"/>
                <w:szCs w:val="21"/>
              </w:rPr>
            </w:pPr>
            <w:r>
              <w:rPr>
                <w:rFonts w:hint="eastAsia" w:ascii="宋体" w:hAnsi="宋体"/>
                <w:color w:val="auto"/>
                <w:szCs w:val="21"/>
              </w:rPr>
              <w:t>（一)供货地点：娄底职业技术学院现代制造技术实训中心。</w:t>
            </w:r>
          </w:p>
          <w:p>
            <w:pPr>
              <w:adjustRightInd w:val="0"/>
              <w:snapToGrid w:val="0"/>
              <w:spacing w:line="360" w:lineRule="auto"/>
              <w:jc w:val="left"/>
              <w:rPr>
                <w:rFonts w:hint="eastAsia" w:ascii="宋体" w:hAnsi="宋体"/>
                <w:color w:val="auto"/>
                <w:szCs w:val="21"/>
              </w:rPr>
            </w:pPr>
            <w:r>
              <w:rPr>
                <w:rFonts w:hint="eastAsia" w:ascii="宋体" w:hAnsi="宋体"/>
                <w:color w:val="auto"/>
                <w:szCs w:val="21"/>
              </w:rPr>
              <w:t>（二）供货时间：在合同签订后120天内，供货商应完成所有制作工作，在指定平台成功上线运行,并完成网站调试、资源验收等全部工作。</w:t>
            </w:r>
          </w:p>
          <w:p>
            <w:pPr>
              <w:adjustRightInd w:val="0"/>
              <w:snapToGrid w:val="0"/>
              <w:spacing w:line="360" w:lineRule="auto"/>
              <w:jc w:val="left"/>
              <w:rPr>
                <w:rFonts w:ascii="宋体" w:hAnsi="宋体"/>
                <w:color w:val="auto"/>
                <w:szCs w:val="21"/>
              </w:rPr>
            </w:pPr>
            <w:r>
              <w:rPr>
                <w:rFonts w:hint="eastAsia" w:ascii="宋体" w:hAnsi="宋体"/>
                <w:color w:val="auto"/>
                <w:szCs w:val="21"/>
              </w:rPr>
              <w:t>（三）验货要求：中标人及时递交送货验收书面报告，采购方接到书面申请报告一周内组织校内验收，按国家有关数字产品制作规范、质量检评标准、预算清单、具体使用要求及实际完成制作与运行情况进行验货验收，验收时需要请行内专家参与。整体制作完成后</w:t>
            </w:r>
            <w:r>
              <w:rPr>
                <w:rFonts w:hint="eastAsia" w:ascii="宋体" w:hAnsi="宋体"/>
                <w:color w:val="auto"/>
                <w:szCs w:val="21"/>
                <w:lang w:val="en-US" w:eastAsia="zh-CN"/>
              </w:rPr>
              <w:t>需通过</w:t>
            </w:r>
            <w:r>
              <w:rPr>
                <w:rFonts w:hint="eastAsia" w:ascii="宋体" w:hAnsi="宋体"/>
                <w:color w:val="auto"/>
                <w:szCs w:val="21"/>
              </w:rPr>
              <w:t>省教育厅验收。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noWrap w:val="0"/>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本章第二节</w:t>
            </w:r>
          </w:p>
          <w:p>
            <w:pPr>
              <w:adjustRightInd w:val="0"/>
              <w:snapToGrid w:val="0"/>
              <w:spacing w:line="360" w:lineRule="auto"/>
              <w:jc w:val="center"/>
              <w:rPr>
                <w:rFonts w:ascii="宋体" w:hAnsi="宋体"/>
                <w:color w:val="auto"/>
                <w:szCs w:val="21"/>
              </w:rPr>
            </w:pPr>
            <w:r>
              <w:rPr>
                <w:rFonts w:hint="eastAsia" w:ascii="宋体" w:hAnsi="宋体"/>
                <w:color w:val="auto"/>
                <w:szCs w:val="21"/>
              </w:rPr>
              <w:t>第9.2（1）项</w:t>
            </w:r>
          </w:p>
        </w:tc>
        <w:tc>
          <w:tcPr>
            <w:tcW w:w="1843" w:type="dxa"/>
            <w:noWrap w:val="0"/>
            <w:vAlign w:val="center"/>
          </w:tcPr>
          <w:p>
            <w:pPr>
              <w:adjustRightInd w:val="0"/>
              <w:snapToGrid w:val="0"/>
              <w:spacing w:line="360" w:lineRule="auto"/>
              <w:jc w:val="left"/>
              <w:rPr>
                <w:rFonts w:ascii="宋体" w:hAnsi="宋体"/>
                <w:color w:val="auto"/>
                <w:szCs w:val="21"/>
              </w:rPr>
            </w:pPr>
            <w:r>
              <w:rPr>
                <w:rFonts w:hint="eastAsia" w:ascii="宋体" w:hAnsi="宋体"/>
                <w:color w:val="auto"/>
                <w:szCs w:val="21"/>
              </w:rPr>
              <w:t>质量保证期</w:t>
            </w:r>
          </w:p>
        </w:tc>
        <w:tc>
          <w:tcPr>
            <w:tcW w:w="5464" w:type="dxa"/>
            <w:noWrap w:val="0"/>
            <w:vAlign w:val="center"/>
          </w:tcPr>
          <w:p>
            <w:pPr>
              <w:autoSpaceDE w:val="0"/>
              <w:autoSpaceDN w:val="0"/>
              <w:adjustRightInd w:val="0"/>
              <w:snapToGrid w:val="0"/>
              <w:spacing w:line="360" w:lineRule="auto"/>
              <w:jc w:val="left"/>
              <w:rPr>
                <w:rFonts w:hint="eastAsia" w:ascii="宋体" w:hAnsi="宋体" w:eastAsia="宋体"/>
                <w:color w:val="auto"/>
                <w:szCs w:val="21"/>
                <w:lang w:eastAsia="zh-CN"/>
              </w:rPr>
            </w:pPr>
            <w:r>
              <w:rPr>
                <w:rFonts w:hint="eastAsia" w:ascii="Calibri" w:hAnsi="Calibri" w:eastAsia="宋体" w:cs="Times New Roman"/>
                <w:b w:val="0"/>
                <w:bCs w:val="0"/>
                <w:color w:val="auto"/>
                <w:kern w:val="2"/>
                <w:sz w:val="21"/>
                <w:szCs w:val="24"/>
                <w:lang w:val="en-US" w:eastAsia="zh-CN" w:bidi="ar-SA"/>
              </w:rPr>
              <w:t>供应商需提供三年内免费更新和维护，从验收合格开始计时。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noWrap w:val="0"/>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本章第二节</w:t>
            </w:r>
          </w:p>
          <w:p>
            <w:pPr>
              <w:adjustRightInd w:val="0"/>
              <w:snapToGrid w:val="0"/>
              <w:spacing w:line="360" w:lineRule="auto"/>
              <w:jc w:val="center"/>
              <w:rPr>
                <w:rFonts w:ascii="宋体" w:hAnsi="宋体"/>
                <w:color w:val="auto"/>
                <w:szCs w:val="21"/>
              </w:rPr>
            </w:pPr>
            <w:r>
              <w:rPr>
                <w:rFonts w:hint="eastAsia" w:ascii="宋体" w:hAnsi="宋体"/>
                <w:color w:val="auto"/>
                <w:szCs w:val="21"/>
              </w:rPr>
              <w:t>第9.2（3）项</w:t>
            </w:r>
          </w:p>
        </w:tc>
        <w:tc>
          <w:tcPr>
            <w:tcW w:w="1843" w:type="dxa"/>
            <w:noWrap w:val="0"/>
            <w:vAlign w:val="center"/>
          </w:tcPr>
          <w:p>
            <w:pPr>
              <w:adjustRightInd w:val="0"/>
              <w:snapToGrid w:val="0"/>
              <w:spacing w:line="360" w:lineRule="auto"/>
              <w:jc w:val="left"/>
              <w:rPr>
                <w:rFonts w:ascii="宋体" w:hAnsi="宋体"/>
                <w:color w:val="auto"/>
                <w:szCs w:val="21"/>
              </w:rPr>
            </w:pPr>
            <w:r>
              <w:rPr>
                <w:rFonts w:hint="eastAsia" w:ascii="宋体" w:hAnsi="宋体"/>
                <w:color w:val="auto"/>
                <w:szCs w:val="21"/>
              </w:rPr>
              <w:t>响应时间</w:t>
            </w:r>
          </w:p>
        </w:tc>
        <w:tc>
          <w:tcPr>
            <w:tcW w:w="5464" w:type="dxa"/>
            <w:noWrap w:val="0"/>
            <w:vAlign w:val="center"/>
          </w:tcPr>
          <w:p>
            <w:pPr>
              <w:adjustRightInd w:val="0"/>
              <w:snapToGrid w:val="0"/>
              <w:spacing w:line="360" w:lineRule="auto"/>
              <w:jc w:val="left"/>
              <w:rPr>
                <w:rFonts w:hint="eastAsia" w:ascii="宋体" w:hAnsi="宋体" w:eastAsia="宋体"/>
                <w:color w:val="auto"/>
                <w:szCs w:val="21"/>
                <w:lang w:eastAsia="zh-CN"/>
              </w:rPr>
            </w:pPr>
            <w:r>
              <w:rPr>
                <w:rFonts w:hint="eastAsia"/>
                <w:color w:val="auto"/>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noWrap w:val="0"/>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本章第二节</w:t>
            </w:r>
          </w:p>
          <w:p>
            <w:pPr>
              <w:adjustRightInd w:val="0"/>
              <w:snapToGrid w:val="0"/>
              <w:spacing w:line="360" w:lineRule="auto"/>
              <w:jc w:val="center"/>
              <w:rPr>
                <w:rFonts w:ascii="宋体" w:hAnsi="宋体"/>
                <w:color w:val="auto"/>
                <w:szCs w:val="21"/>
              </w:rPr>
            </w:pPr>
            <w:r>
              <w:rPr>
                <w:rFonts w:hint="eastAsia" w:ascii="宋体" w:hAnsi="宋体"/>
                <w:color w:val="auto"/>
                <w:szCs w:val="21"/>
              </w:rPr>
              <w:t>第13.5款</w:t>
            </w:r>
          </w:p>
        </w:tc>
        <w:tc>
          <w:tcPr>
            <w:tcW w:w="1843" w:type="dxa"/>
            <w:noWrap w:val="0"/>
            <w:vAlign w:val="center"/>
          </w:tcPr>
          <w:p>
            <w:pPr>
              <w:adjustRightInd w:val="0"/>
              <w:snapToGrid w:val="0"/>
              <w:spacing w:line="360" w:lineRule="auto"/>
              <w:jc w:val="left"/>
              <w:rPr>
                <w:rFonts w:ascii="宋体" w:hAnsi="宋体"/>
                <w:color w:val="auto"/>
                <w:szCs w:val="21"/>
              </w:rPr>
            </w:pPr>
            <w:r>
              <w:rPr>
                <w:rFonts w:hint="eastAsia" w:ascii="宋体" w:hAnsi="宋体"/>
                <w:color w:val="auto"/>
                <w:szCs w:val="21"/>
              </w:rPr>
              <w:t>合同价款支付方式</w:t>
            </w:r>
            <w:r>
              <w:rPr>
                <w:rFonts w:hint="eastAsia" w:ascii="宋体" w:hAnsi="宋体"/>
                <w:bCs/>
                <w:color w:val="auto"/>
                <w:szCs w:val="21"/>
              </w:rPr>
              <w:t>和条件</w:t>
            </w:r>
          </w:p>
        </w:tc>
        <w:tc>
          <w:tcPr>
            <w:tcW w:w="5464" w:type="dxa"/>
            <w:noWrap w:val="0"/>
            <w:vAlign w:val="center"/>
          </w:tcPr>
          <w:p>
            <w:pPr>
              <w:pStyle w:val="9"/>
              <w:spacing w:line="380" w:lineRule="exact"/>
              <w:ind w:right="21" w:rightChars="10"/>
              <w:jc w:val="both"/>
              <w:rPr>
                <w:rFonts w:hint="default" w:ascii="宋体" w:hAnsi="宋体" w:eastAsia="宋体"/>
                <w:color w:val="auto"/>
                <w:szCs w:val="21"/>
                <w:lang w:val="en-US" w:eastAsia="zh-CN"/>
              </w:rPr>
            </w:pPr>
            <w:r>
              <w:rPr>
                <w:rFonts w:hint="default" w:ascii="宋体" w:hAnsi="宋体" w:eastAsia="宋体"/>
                <w:color w:val="auto"/>
                <w:szCs w:val="21"/>
                <w:lang w:val="en-US" w:eastAsia="zh-CN"/>
              </w:rPr>
              <w:t>（一）本项目按合同金额的5%设履约保证金，签订合同前交清，校内验收合格后一个月内无息退还；</w:t>
            </w:r>
          </w:p>
          <w:p>
            <w:pPr>
              <w:pStyle w:val="9"/>
              <w:spacing w:line="380" w:lineRule="exact"/>
              <w:ind w:right="21" w:rightChars="10"/>
              <w:jc w:val="both"/>
              <w:rPr>
                <w:rFonts w:hint="default" w:ascii="宋体" w:hAnsi="宋体" w:eastAsia="宋体"/>
                <w:color w:val="auto"/>
                <w:szCs w:val="21"/>
                <w:lang w:val="en-US" w:eastAsia="zh-CN"/>
              </w:rPr>
            </w:pPr>
            <w:r>
              <w:rPr>
                <w:rFonts w:hint="default" w:ascii="宋体" w:hAnsi="宋体" w:eastAsia="宋体"/>
                <w:color w:val="auto"/>
                <w:szCs w:val="21"/>
                <w:lang w:val="en-US" w:eastAsia="zh-CN"/>
              </w:rPr>
              <w:t>（二）验收分两步。第一步校内聘请专家组织验收，验收合格后，一个月内付合同总金额70%；第二步接受省教育厅验收，验收合格后，一个月内付合同余款。</w:t>
            </w:r>
          </w:p>
          <w:p>
            <w:pPr>
              <w:pStyle w:val="9"/>
              <w:spacing w:line="380" w:lineRule="exact"/>
              <w:ind w:right="21" w:rightChars="10"/>
              <w:jc w:val="both"/>
              <w:rPr>
                <w:rFonts w:hint="default" w:ascii="宋体" w:hAnsi="宋体" w:eastAsia="宋体"/>
                <w:color w:val="auto"/>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noWrap w:val="0"/>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本章第二节</w:t>
            </w:r>
          </w:p>
          <w:p>
            <w:pPr>
              <w:adjustRightInd w:val="0"/>
              <w:snapToGrid w:val="0"/>
              <w:spacing w:line="360" w:lineRule="auto"/>
              <w:jc w:val="center"/>
              <w:rPr>
                <w:rFonts w:ascii="宋体" w:hAnsi="宋体"/>
                <w:color w:val="auto"/>
                <w:szCs w:val="21"/>
              </w:rPr>
            </w:pPr>
            <w:r>
              <w:rPr>
                <w:rFonts w:hint="eastAsia" w:ascii="宋体" w:hAnsi="宋体"/>
                <w:color w:val="auto"/>
                <w:szCs w:val="21"/>
              </w:rPr>
              <w:t>第14.2（6）项</w:t>
            </w:r>
          </w:p>
        </w:tc>
        <w:tc>
          <w:tcPr>
            <w:tcW w:w="1843" w:type="dxa"/>
            <w:noWrap w:val="0"/>
            <w:vAlign w:val="center"/>
          </w:tcPr>
          <w:p>
            <w:pPr>
              <w:adjustRightInd w:val="0"/>
              <w:snapToGrid w:val="0"/>
              <w:spacing w:line="360" w:lineRule="auto"/>
              <w:jc w:val="left"/>
              <w:rPr>
                <w:rFonts w:ascii="宋体" w:hAnsi="宋体"/>
                <w:color w:val="auto"/>
                <w:szCs w:val="21"/>
              </w:rPr>
            </w:pPr>
            <w:r>
              <w:rPr>
                <w:rFonts w:hint="eastAsia" w:ascii="宋体" w:hAnsi="宋体"/>
                <w:color w:val="auto"/>
                <w:szCs w:val="21"/>
              </w:rPr>
              <w:t>乙方提供的其他服务</w:t>
            </w:r>
          </w:p>
        </w:tc>
        <w:tc>
          <w:tcPr>
            <w:tcW w:w="5464" w:type="dxa"/>
            <w:noWrap w:val="0"/>
            <w:vAlign w:val="center"/>
          </w:tcPr>
          <w:p>
            <w:pPr>
              <w:adjustRightInd w:val="0"/>
              <w:snapToGrid w:val="0"/>
              <w:spacing w:line="360" w:lineRule="auto"/>
              <w:jc w:val="left"/>
              <w:rPr>
                <w:rFonts w:ascii="宋体" w:hAnsi="宋体"/>
                <w:color w:val="auto"/>
                <w:szCs w:val="21"/>
              </w:rPr>
            </w:pPr>
            <w:r>
              <w:rPr>
                <w:rFonts w:hint="eastAsia" w:ascii="宋体" w:hAnsi="宋体"/>
                <w:color w:val="auto"/>
                <w:szCs w:val="21"/>
              </w:rPr>
              <w:t>详见第</w:t>
            </w:r>
            <w:r>
              <w:rPr>
                <w:rFonts w:hint="eastAsia" w:ascii="宋体" w:hAnsi="宋体"/>
                <w:color w:val="auto"/>
                <w:szCs w:val="21"/>
                <w:lang w:eastAsia="zh-CN"/>
              </w:rPr>
              <w:t>四</w:t>
            </w:r>
            <w:r>
              <w:rPr>
                <w:rFonts w:hint="eastAsia" w:ascii="宋体" w:hAnsi="宋体"/>
                <w:color w:val="auto"/>
                <w:szCs w:val="21"/>
              </w:rPr>
              <w:t>章采购需求。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noWrap w:val="0"/>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本章第二节</w:t>
            </w:r>
          </w:p>
          <w:p>
            <w:pPr>
              <w:adjustRightInd w:val="0"/>
              <w:snapToGrid w:val="0"/>
              <w:spacing w:line="360" w:lineRule="auto"/>
              <w:jc w:val="center"/>
              <w:rPr>
                <w:rFonts w:ascii="宋体" w:hAnsi="宋体"/>
                <w:bCs/>
                <w:color w:val="auto"/>
                <w:szCs w:val="21"/>
              </w:rPr>
            </w:pPr>
            <w:r>
              <w:rPr>
                <w:rFonts w:hint="eastAsia" w:ascii="宋体" w:hAnsi="宋体"/>
                <w:color w:val="auto"/>
                <w:szCs w:val="21"/>
              </w:rPr>
              <w:t>第20.2款</w:t>
            </w:r>
          </w:p>
        </w:tc>
        <w:tc>
          <w:tcPr>
            <w:tcW w:w="1843" w:type="dxa"/>
            <w:noWrap w:val="0"/>
            <w:vAlign w:val="center"/>
          </w:tcPr>
          <w:p>
            <w:pPr>
              <w:adjustRightInd w:val="0"/>
              <w:snapToGrid w:val="0"/>
              <w:spacing w:line="360" w:lineRule="auto"/>
              <w:jc w:val="left"/>
              <w:rPr>
                <w:rFonts w:ascii="宋体" w:hAnsi="宋体"/>
                <w:bCs/>
                <w:color w:val="auto"/>
                <w:szCs w:val="21"/>
              </w:rPr>
            </w:pPr>
            <w:r>
              <w:rPr>
                <w:rFonts w:hint="eastAsia" w:ascii="宋体" w:hAnsi="宋体"/>
                <w:color w:val="auto"/>
                <w:szCs w:val="21"/>
              </w:rPr>
              <w:t>解决争议的方式</w:t>
            </w:r>
          </w:p>
        </w:tc>
        <w:tc>
          <w:tcPr>
            <w:tcW w:w="5464" w:type="dxa"/>
            <w:noWrap w:val="0"/>
            <w:vAlign w:val="center"/>
          </w:tcPr>
          <w:p>
            <w:pPr>
              <w:adjustRightInd w:val="0"/>
              <w:snapToGrid w:val="0"/>
              <w:spacing w:line="360" w:lineRule="auto"/>
              <w:jc w:val="left"/>
              <w:rPr>
                <w:rFonts w:ascii="宋体" w:hAnsi="宋体"/>
                <w:color w:val="auto"/>
                <w:szCs w:val="21"/>
              </w:rPr>
            </w:pPr>
            <w:r>
              <w:rPr>
                <w:rFonts w:hint="eastAsia" w:ascii="宋体" w:hAnsi="宋体"/>
                <w:color w:val="auto"/>
                <w:szCs w:val="21"/>
              </w:rPr>
              <w:t>□ 诉讼</w:t>
            </w:r>
          </w:p>
          <w:p>
            <w:pPr>
              <w:adjustRightInd w:val="0"/>
              <w:snapToGrid w:val="0"/>
              <w:spacing w:line="360" w:lineRule="auto"/>
              <w:jc w:val="left"/>
              <w:rPr>
                <w:rFonts w:ascii="宋体" w:hAnsi="宋体"/>
                <w:color w:val="auto"/>
                <w:szCs w:val="21"/>
              </w:rPr>
            </w:pPr>
            <w:r>
              <w:rPr>
                <w:rFonts w:hint="eastAsia" w:ascii="宋体" w:hAnsi="宋体"/>
                <w:color w:val="auto"/>
                <w:szCs w:val="21"/>
              </w:rPr>
              <w:sym w:font="Wingdings 2" w:char="0052"/>
            </w:r>
            <w:r>
              <w:rPr>
                <w:rFonts w:hint="eastAsia" w:ascii="宋体" w:hAnsi="宋体"/>
                <w:color w:val="auto"/>
                <w:szCs w:val="21"/>
              </w:rPr>
              <w:t xml:space="preserve"> 仲裁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noWrap w:val="0"/>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本章第二节</w:t>
            </w:r>
          </w:p>
          <w:p>
            <w:pPr>
              <w:adjustRightInd w:val="0"/>
              <w:snapToGrid w:val="0"/>
              <w:spacing w:line="360" w:lineRule="auto"/>
              <w:jc w:val="center"/>
              <w:rPr>
                <w:rFonts w:ascii="宋体" w:hAnsi="宋体"/>
                <w:color w:val="auto"/>
                <w:szCs w:val="21"/>
              </w:rPr>
            </w:pPr>
            <w:r>
              <w:rPr>
                <w:rFonts w:hint="eastAsia" w:ascii="宋体" w:hAnsi="宋体"/>
                <w:color w:val="auto"/>
                <w:szCs w:val="21"/>
              </w:rPr>
              <w:t>第23.1款</w:t>
            </w:r>
          </w:p>
        </w:tc>
        <w:tc>
          <w:tcPr>
            <w:tcW w:w="1843" w:type="dxa"/>
            <w:noWrap w:val="0"/>
            <w:vAlign w:val="center"/>
          </w:tcPr>
          <w:p>
            <w:pPr>
              <w:adjustRightInd w:val="0"/>
              <w:snapToGrid w:val="0"/>
              <w:spacing w:line="360" w:lineRule="auto"/>
              <w:jc w:val="left"/>
              <w:rPr>
                <w:rFonts w:ascii="宋体" w:hAnsi="宋体"/>
                <w:color w:val="auto"/>
                <w:szCs w:val="21"/>
              </w:rPr>
            </w:pPr>
            <w:r>
              <w:rPr>
                <w:rFonts w:hint="eastAsia" w:ascii="宋体" w:hAnsi="宋体"/>
                <w:bCs/>
                <w:color w:val="auto"/>
                <w:szCs w:val="21"/>
              </w:rPr>
              <w:t>合同未尽事项</w:t>
            </w:r>
          </w:p>
        </w:tc>
        <w:tc>
          <w:tcPr>
            <w:tcW w:w="5464" w:type="dxa"/>
            <w:noWrap w:val="0"/>
            <w:vAlign w:val="center"/>
          </w:tcPr>
          <w:p>
            <w:pPr>
              <w:adjustRightInd w:val="0"/>
              <w:snapToGrid w:val="0"/>
              <w:spacing w:line="360" w:lineRule="auto"/>
              <w:jc w:val="left"/>
              <w:rPr>
                <w:rFonts w:ascii="宋体" w:hAnsi="宋体"/>
                <w:color w:val="auto"/>
                <w:szCs w:val="21"/>
              </w:rPr>
            </w:pPr>
            <w:r>
              <w:rPr>
                <w:rFonts w:hint="eastAsia" w:ascii="宋体" w:hAnsi="宋体" w:cs="宋体"/>
                <w:color w:val="auto"/>
                <w:szCs w:val="21"/>
              </w:rPr>
              <w:t>由甲乙双方共同协商解决</w:t>
            </w:r>
          </w:p>
        </w:tc>
      </w:tr>
    </w:tbl>
    <w:p>
      <w:pPr>
        <w:rPr>
          <w:rFonts w:hint="eastAsia"/>
          <w:color w:val="auto"/>
        </w:rPr>
      </w:pPr>
    </w:p>
    <w:p>
      <w:pPr>
        <w:tabs>
          <w:tab w:val="left" w:pos="8820"/>
          <w:tab w:val="left" w:pos="9345"/>
          <w:tab w:val="left" w:pos="9765"/>
        </w:tabs>
        <w:adjustRightInd w:val="0"/>
        <w:snapToGrid w:val="0"/>
        <w:spacing w:beforeLines="50" w:line="360" w:lineRule="auto"/>
        <w:ind w:right="384" w:rightChars="183" w:firstLine="2570" w:firstLineChars="800"/>
        <w:rPr>
          <w:rFonts w:ascii="黑体" w:eastAsia="黑体"/>
          <w:b/>
          <w:color w:val="auto"/>
          <w:sz w:val="32"/>
          <w:szCs w:val="32"/>
        </w:rPr>
      </w:pPr>
      <w:r>
        <w:rPr>
          <w:rFonts w:hint="eastAsia" w:ascii="黑体" w:hAnsi="宋体" w:eastAsia="黑体"/>
          <w:b/>
          <w:bCs/>
          <w:color w:val="auto"/>
          <w:sz w:val="32"/>
          <w:szCs w:val="32"/>
        </w:rPr>
        <w:t xml:space="preserve">第四章 </w:t>
      </w:r>
      <w:r>
        <w:rPr>
          <w:rFonts w:hint="eastAsia" w:ascii="黑体" w:eastAsia="黑体"/>
          <w:b/>
          <w:color w:val="auto"/>
          <w:sz w:val="32"/>
          <w:szCs w:val="32"/>
        </w:rPr>
        <w:t>采购需求</w:t>
      </w:r>
    </w:p>
    <w:p>
      <w:pPr>
        <w:numPr>
          <w:ilvl w:val="0"/>
          <w:numId w:val="0"/>
        </w:numPr>
        <w:spacing w:line="500" w:lineRule="exact"/>
        <w:ind w:left="840" w:leftChars="200" w:hanging="420" w:hangingChars="200"/>
        <w:textAlignment w:val="baseline"/>
        <w:rPr>
          <w:rFonts w:hint="eastAsia" w:ascii="宋体" w:hAnsi="宋体" w:eastAsia="宋体" w:cs="Times New Roman"/>
          <w:color w:val="auto"/>
          <w:kern w:val="2"/>
          <w:sz w:val="20"/>
          <w:szCs w:val="20"/>
          <w:lang w:val="en-US" w:eastAsia="zh-CN" w:bidi="ar-SA"/>
        </w:rPr>
      </w:pPr>
      <w:r>
        <w:rPr>
          <w:rFonts w:hint="eastAsia" w:ascii="宋体" w:hAnsi="宋体" w:eastAsia="宋体" w:cs="Times New Roman"/>
          <w:color w:val="auto"/>
          <w:kern w:val="2"/>
          <w:sz w:val="21"/>
          <w:szCs w:val="21"/>
          <w:lang w:val="en-US" w:eastAsia="zh-CN" w:bidi="ar-SA"/>
        </w:rPr>
        <w:t>一、项目名称 ：</w:t>
      </w:r>
      <w:r>
        <w:rPr>
          <w:rFonts w:hint="eastAsia" w:ascii="宋体" w:hAnsi="宋体"/>
          <w:color w:val="auto"/>
          <w:sz w:val="20"/>
          <w:szCs w:val="22"/>
          <w:lang w:val="en-US" w:eastAsia="zh-CN"/>
        </w:rPr>
        <w:t>娄底职业技术学院大国长技项目-现代农机数字博物馆(第一期)委托开发项目</w:t>
      </w:r>
    </w:p>
    <w:p>
      <w:pPr>
        <w:numPr>
          <w:ilvl w:val="0"/>
          <w:numId w:val="0"/>
        </w:numPr>
        <w:spacing w:line="500" w:lineRule="exact"/>
        <w:ind w:leftChars="-700" w:firstLine="1890" w:firstLineChars="900"/>
        <w:textAlignment w:val="baseline"/>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二、采购预算：</w:t>
      </w:r>
      <w:r>
        <w:rPr>
          <w:rFonts w:hint="eastAsia" w:ascii="宋体" w:hAnsi="宋体" w:cs="Times New Roman"/>
          <w:color w:val="auto"/>
          <w:kern w:val="2"/>
          <w:sz w:val="21"/>
          <w:szCs w:val="21"/>
          <w:lang w:val="en-US" w:eastAsia="zh-CN" w:bidi="ar-SA"/>
        </w:rPr>
        <w:t>59.97万元</w:t>
      </w:r>
    </w:p>
    <w:p>
      <w:pPr>
        <w:numPr>
          <w:ilvl w:val="0"/>
          <w:numId w:val="0"/>
        </w:numPr>
        <w:spacing w:line="500" w:lineRule="exact"/>
        <w:ind w:leftChars="-700" w:firstLine="1890" w:firstLineChars="900"/>
        <w:textAlignment w:val="baseline"/>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三、合同期限：</w:t>
      </w:r>
      <w:r>
        <w:rPr>
          <w:rFonts w:hint="eastAsia" w:ascii="宋体" w:hAnsi="宋体" w:cs="Times New Roman"/>
          <w:color w:val="auto"/>
          <w:kern w:val="2"/>
          <w:sz w:val="21"/>
          <w:szCs w:val="21"/>
          <w:lang w:val="en-US" w:eastAsia="zh-CN" w:bidi="ar-SA"/>
        </w:rPr>
        <w:t>120天</w:t>
      </w:r>
    </w:p>
    <w:p>
      <w:pPr>
        <w:numPr>
          <w:ilvl w:val="0"/>
          <w:numId w:val="0"/>
        </w:numPr>
        <w:spacing w:line="500" w:lineRule="exact"/>
        <w:ind w:leftChars="-700" w:firstLine="1890" w:firstLineChars="900"/>
        <w:textAlignment w:val="baseline"/>
        <w:rPr>
          <w:rFonts w:hint="eastAsia" w:ascii="宋体" w:hAnsi="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四、采购基本要求</w:t>
      </w:r>
      <w:r>
        <w:rPr>
          <w:rFonts w:hint="eastAsia" w:ascii="宋体" w:hAnsi="宋体" w:cs="Times New Roman"/>
          <w:color w:val="auto"/>
          <w:kern w:val="2"/>
          <w:sz w:val="21"/>
          <w:szCs w:val="21"/>
          <w:lang w:val="en-US" w:eastAsia="zh-CN" w:bidi="ar-SA"/>
        </w:rPr>
        <w:t>:详见附件</w:t>
      </w:r>
    </w:p>
    <w:p>
      <w:pPr>
        <w:pStyle w:val="2"/>
        <w:rPr>
          <w:rFonts w:hint="eastAsia"/>
          <w:color w:val="auto"/>
          <w:lang w:val="en-US" w:eastAsia="zh-CN"/>
        </w:rPr>
      </w:pPr>
    </w:p>
    <w:p>
      <w:pPr>
        <w:pStyle w:val="2"/>
        <w:ind w:firstLine="442" w:firstLineChars="200"/>
        <w:rPr>
          <w:rFonts w:hint="eastAsia"/>
          <w:b/>
          <w:bCs/>
          <w:color w:val="auto"/>
          <w:sz w:val="22"/>
          <w:szCs w:val="28"/>
          <w:lang w:val="en-US" w:eastAsia="zh-CN"/>
        </w:rPr>
      </w:pPr>
      <w:r>
        <w:rPr>
          <w:rFonts w:hint="eastAsia"/>
          <w:b/>
          <w:bCs/>
          <w:color w:val="auto"/>
          <w:sz w:val="22"/>
          <w:szCs w:val="28"/>
          <w:lang w:val="en-US" w:eastAsia="zh-CN"/>
        </w:rPr>
        <w:t>附件1  平台功能与内容要求</w:t>
      </w:r>
    </w:p>
    <w:p>
      <w:pPr>
        <w:pStyle w:val="2"/>
        <w:ind w:firstLine="442" w:firstLineChars="200"/>
        <w:rPr>
          <w:rFonts w:hint="eastAsia"/>
          <w:b/>
          <w:bCs/>
          <w:color w:val="auto"/>
          <w:sz w:val="22"/>
          <w:szCs w:val="28"/>
          <w:lang w:val="en-US" w:eastAsia="zh-CN"/>
        </w:rPr>
      </w:pPr>
      <w:r>
        <w:rPr>
          <w:rFonts w:hint="eastAsia"/>
          <w:b/>
          <w:bCs/>
          <w:color w:val="auto"/>
          <w:sz w:val="22"/>
          <w:szCs w:val="28"/>
          <w:lang w:val="en-US" w:eastAsia="zh-CN"/>
        </w:rPr>
        <w:t>附件2  分项建设内容与要求（项目清单）</w:t>
      </w:r>
    </w:p>
    <w:p>
      <w:pPr>
        <w:pStyle w:val="3"/>
        <w:rPr>
          <w:rFonts w:hint="default"/>
          <w:color w:val="auto"/>
          <w:lang w:val="en-US" w:eastAsia="zh-CN"/>
        </w:rPr>
      </w:pPr>
    </w:p>
    <w:p>
      <w:pPr>
        <w:pStyle w:val="16"/>
        <w:keepNext w:val="0"/>
        <w:keepLines w:val="0"/>
        <w:pageBreakBefore w:val="0"/>
        <w:widowControl w:val="0"/>
        <w:numPr>
          <w:ilvl w:val="0"/>
          <w:numId w:val="2"/>
        </w:numPr>
        <w:kinsoku/>
        <w:wordWrap/>
        <w:overflowPunct/>
        <w:topLinePunct w:val="0"/>
        <w:autoSpaceDE/>
        <w:autoSpaceDN/>
        <w:bidi w:val="0"/>
        <w:snapToGrid/>
        <w:spacing w:line="360" w:lineRule="auto"/>
        <w:ind w:firstLine="422" w:firstLineChars="200"/>
        <w:rPr>
          <w:b/>
          <w:bCs/>
          <w:color w:val="auto"/>
        </w:rPr>
      </w:pPr>
      <w:r>
        <w:rPr>
          <w:rFonts w:hint="eastAsia"/>
          <w:b/>
          <w:bCs/>
          <w:color w:val="auto"/>
        </w:rPr>
        <w:t>技术要求：</w:t>
      </w:r>
    </w:p>
    <w:p>
      <w:pPr>
        <w:pStyle w:val="2"/>
        <w:keepNext w:val="0"/>
        <w:keepLines w:val="0"/>
        <w:pageBreakBefore w:val="0"/>
        <w:widowControl w:val="0"/>
        <w:kinsoku/>
        <w:wordWrap/>
        <w:overflowPunct/>
        <w:topLinePunct w:val="0"/>
        <w:autoSpaceDE/>
        <w:autoSpaceDN/>
        <w:bidi w:val="0"/>
        <w:snapToGrid/>
        <w:spacing w:line="360" w:lineRule="auto"/>
        <w:ind w:firstLine="420"/>
        <w:rPr>
          <w:rFonts w:hint="eastAsia"/>
          <w:b/>
          <w:bCs/>
          <w:color w:val="auto"/>
          <w:lang w:val="en-US" w:eastAsia="zh-CN"/>
        </w:rPr>
      </w:pPr>
      <w:r>
        <w:rPr>
          <w:rFonts w:hint="eastAsia"/>
          <w:b/>
          <w:bCs/>
          <w:color w:val="auto"/>
          <w:lang w:val="en-US" w:eastAsia="zh-CN"/>
        </w:rPr>
        <w:t>3.1供货范围、供货要求及规格尺码要求：</w:t>
      </w:r>
    </w:p>
    <w:p>
      <w:pPr>
        <w:pStyle w:val="16"/>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color w:val="auto"/>
          <w:lang w:val="en-US" w:eastAsia="zh-CN"/>
        </w:rPr>
      </w:pPr>
      <w:r>
        <w:rPr>
          <w:rFonts w:hint="eastAsia"/>
          <w:color w:val="auto"/>
          <w:lang w:val="en-US" w:eastAsia="zh-CN"/>
        </w:rPr>
        <w:t>①供货范围：委托开发农机行业历史馆、农机产品馆、农机体验馆、农机文化馆及农机行业企业馆，以图文、语音视频、动画、3D、虚拟仿真等形式呈现，构建具有沉浸感、交互性、智能化的线上现代农机行业数字博物馆。具体建设内容详见附件。</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color w:val="auto"/>
          <w:lang w:val="en-US" w:eastAsia="zh-CN"/>
        </w:rPr>
      </w:pPr>
      <w:r>
        <w:rPr>
          <w:rFonts w:hint="eastAsia"/>
          <w:b/>
          <w:bCs/>
          <w:color w:val="auto"/>
          <w:lang w:val="en-US" w:eastAsia="zh-CN"/>
        </w:rPr>
        <w:t>3.2项目验收方式及标准：</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20" w:firstLineChars="200"/>
        <w:textAlignment w:val="auto"/>
        <w:rPr>
          <w:rFonts w:hint="eastAsia"/>
          <w:color w:val="auto"/>
          <w:lang w:val="en-US" w:eastAsia="zh-CN"/>
        </w:rPr>
      </w:pPr>
      <w:r>
        <w:rPr>
          <w:rFonts w:hint="eastAsia"/>
          <w:color w:val="auto"/>
          <w:lang w:val="en-US" w:eastAsia="zh-CN"/>
        </w:rPr>
        <w:t>供货时间或完成时间的要求：</w:t>
      </w:r>
    </w:p>
    <w:p>
      <w:pPr>
        <w:pStyle w:val="3"/>
        <w:rPr>
          <w:rFonts w:hint="eastAsia"/>
          <w:color w:val="auto"/>
          <w:lang w:val="en-US" w:eastAsia="zh-CN"/>
        </w:rPr>
      </w:pPr>
    </w:p>
    <w:p>
      <w:pPr>
        <w:pStyle w:val="1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（一)供货地点：娄底职业技术学院现代制造技术实训中心。</w:t>
      </w:r>
    </w:p>
    <w:p>
      <w:pPr>
        <w:pStyle w:val="1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（二）供货时间：在合同签订后120天内，供货商应完成所有制作工作，在指定平台成功上线运行,并完成网站调试、资源验收等全部工作。</w:t>
      </w:r>
    </w:p>
    <w:p>
      <w:pPr>
        <w:pStyle w:val="1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三）验货要求：中标人及时递交送货验收书面报告，采购方接到书面申请报告一周内组织校内验收，按国家有关数字产品制作规范、质量检评标准、预算清单、具体使用要求及实际完成制作与运行情况进行验货验收，验收时需要请行内专家参与。整体制作完成后需通过省教育厅验收。</w:t>
      </w:r>
    </w:p>
    <w:p>
      <w:pPr>
        <w:pStyle w:val="1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p>
    <w:p>
      <w:pPr>
        <w:pStyle w:val="16"/>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20" w:firstLineChars="200"/>
        <w:textAlignment w:val="auto"/>
        <w:rPr>
          <w:rFonts w:hint="eastAsia"/>
          <w:b w:val="0"/>
          <w:bCs w:val="0"/>
          <w:color w:val="auto"/>
          <w:lang w:val="en-US" w:eastAsia="zh-CN"/>
        </w:rPr>
      </w:pPr>
      <w:r>
        <w:rPr>
          <w:rFonts w:hint="eastAsia"/>
          <w:color w:val="auto"/>
          <w:lang w:val="en-US" w:eastAsia="zh-CN"/>
        </w:rPr>
        <w:t>服务要求</w:t>
      </w:r>
      <w:r>
        <w:rPr>
          <w:rFonts w:hint="eastAsia"/>
          <w:b w:val="0"/>
          <w:bCs w:val="0"/>
          <w:color w:val="auto"/>
          <w:lang w:val="en-US" w:eastAsia="zh-CN"/>
        </w:rPr>
        <w:t>：</w:t>
      </w:r>
    </w:p>
    <w:p>
      <w:pPr>
        <w:pStyle w:val="2"/>
        <w:keepNext w:val="0"/>
        <w:keepLines w:val="0"/>
        <w:pageBreakBefore w:val="0"/>
        <w:widowControl w:val="0"/>
        <w:kinsoku/>
        <w:wordWrap/>
        <w:overflowPunct/>
        <w:topLinePunct w:val="0"/>
        <w:autoSpaceDE/>
        <w:autoSpaceDN/>
        <w:bidi w:val="0"/>
        <w:snapToGrid/>
        <w:spacing w:line="360" w:lineRule="auto"/>
        <w:ind w:firstLine="420" w:firstLineChars="200"/>
        <w:rPr>
          <w:rFonts w:hint="eastAsia"/>
          <w:b w:val="0"/>
          <w:bCs w:val="0"/>
          <w:color w:val="auto"/>
          <w:lang w:val="en-US" w:eastAsia="zh-CN"/>
        </w:rPr>
      </w:pPr>
      <w:r>
        <w:rPr>
          <w:rFonts w:hint="eastAsia"/>
          <w:b w:val="0"/>
          <w:bCs w:val="0"/>
          <w:color w:val="auto"/>
          <w:lang w:val="en-US" w:eastAsia="zh-CN"/>
        </w:rPr>
        <w:t>（一）投标人制作应严格按照采购方要求制作，不能有版权争议，否则投标人承担所有的责任。</w:t>
      </w:r>
    </w:p>
    <w:p>
      <w:pPr>
        <w:pStyle w:val="2"/>
        <w:keepNext w:val="0"/>
        <w:keepLines w:val="0"/>
        <w:pageBreakBefore w:val="0"/>
        <w:widowControl w:val="0"/>
        <w:kinsoku/>
        <w:wordWrap/>
        <w:overflowPunct/>
        <w:topLinePunct w:val="0"/>
        <w:autoSpaceDE/>
        <w:autoSpaceDN/>
        <w:bidi w:val="0"/>
        <w:snapToGrid/>
        <w:spacing w:line="360" w:lineRule="auto"/>
        <w:ind w:firstLine="420" w:firstLineChars="200"/>
        <w:rPr>
          <w:rFonts w:hint="eastAsia"/>
          <w:b w:val="0"/>
          <w:bCs w:val="0"/>
          <w:color w:val="auto"/>
          <w:lang w:val="en-US" w:eastAsia="zh-CN"/>
        </w:rPr>
      </w:pPr>
      <w:r>
        <w:rPr>
          <w:rFonts w:hint="eastAsia"/>
          <w:b w:val="0"/>
          <w:bCs w:val="0"/>
          <w:color w:val="auto"/>
          <w:lang w:val="en-US" w:eastAsia="zh-CN"/>
        </w:rPr>
        <w:t>（二）所提供数字化资源要求满足国家数字化资源制作规范，且不得有任何不符合主流意识形态的内容，否则由投标人承担所有的责任。</w:t>
      </w:r>
    </w:p>
    <w:p>
      <w:pPr>
        <w:pStyle w:val="2"/>
        <w:keepNext w:val="0"/>
        <w:keepLines w:val="0"/>
        <w:pageBreakBefore w:val="0"/>
        <w:widowControl w:val="0"/>
        <w:kinsoku/>
        <w:wordWrap/>
        <w:overflowPunct/>
        <w:topLinePunct w:val="0"/>
        <w:autoSpaceDE/>
        <w:autoSpaceDN/>
        <w:bidi w:val="0"/>
        <w:snapToGrid/>
        <w:spacing w:line="360" w:lineRule="auto"/>
        <w:ind w:firstLine="420" w:firstLineChars="200"/>
        <w:rPr>
          <w:rFonts w:hint="eastAsia"/>
          <w:b w:val="0"/>
          <w:bCs w:val="0"/>
          <w:color w:val="auto"/>
          <w:lang w:val="en-US" w:eastAsia="zh-CN"/>
        </w:rPr>
      </w:pPr>
      <w:r>
        <w:rPr>
          <w:rFonts w:hint="eastAsia"/>
          <w:b w:val="0"/>
          <w:bCs w:val="0"/>
          <w:color w:val="auto"/>
          <w:lang w:val="en-US" w:eastAsia="zh-CN"/>
        </w:rPr>
        <w:t>（三）项目相关资源应全部上传至指定平台，平台功能与内容要求见附件1。</w:t>
      </w:r>
    </w:p>
    <w:p>
      <w:pPr>
        <w:pStyle w:val="2"/>
        <w:keepNext w:val="0"/>
        <w:keepLines w:val="0"/>
        <w:pageBreakBefore w:val="0"/>
        <w:widowControl w:val="0"/>
        <w:kinsoku/>
        <w:wordWrap/>
        <w:overflowPunct/>
        <w:topLinePunct w:val="0"/>
        <w:autoSpaceDE/>
        <w:autoSpaceDN/>
        <w:bidi w:val="0"/>
        <w:snapToGrid/>
        <w:spacing w:line="360" w:lineRule="auto"/>
        <w:ind w:firstLine="420" w:firstLineChars="200"/>
        <w:rPr>
          <w:rFonts w:hint="eastAsia"/>
          <w:b w:val="0"/>
          <w:bCs w:val="0"/>
          <w:color w:val="auto"/>
          <w:lang w:val="en-US" w:eastAsia="zh-CN"/>
        </w:rPr>
      </w:pPr>
      <w:r>
        <w:rPr>
          <w:rFonts w:hint="eastAsia"/>
          <w:b w:val="0"/>
          <w:bCs w:val="0"/>
          <w:color w:val="auto"/>
          <w:lang w:val="en-US" w:eastAsia="zh-CN"/>
        </w:rPr>
        <w:t>（四）技术上（技术参数以外）的要求:项目相关资源技术参数应符合采购清单要求，具体见见附件2。主要技术要求如下：</w:t>
      </w:r>
    </w:p>
    <w:p>
      <w:pPr>
        <w:pStyle w:val="2"/>
        <w:keepNext w:val="0"/>
        <w:keepLines w:val="0"/>
        <w:pageBreakBefore w:val="0"/>
        <w:widowControl w:val="0"/>
        <w:kinsoku/>
        <w:wordWrap/>
        <w:overflowPunct/>
        <w:topLinePunct w:val="0"/>
        <w:autoSpaceDE/>
        <w:autoSpaceDN/>
        <w:bidi w:val="0"/>
        <w:snapToGrid/>
        <w:spacing w:line="360" w:lineRule="auto"/>
        <w:ind w:firstLine="420" w:firstLineChars="200"/>
        <w:rPr>
          <w:rFonts w:hint="eastAsia"/>
          <w:b w:val="0"/>
          <w:bCs w:val="0"/>
          <w:color w:val="auto"/>
          <w:lang w:val="en-US" w:eastAsia="zh-CN"/>
        </w:rPr>
      </w:pPr>
      <w:r>
        <w:rPr>
          <w:rFonts w:hint="eastAsia"/>
          <w:b w:val="0"/>
          <w:bCs w:val="0"/>
          <w:color w:val="auto"/>
          <w:lang w:val="en-US" w:eastAsia="zh-CN"/>
        </w:rPr>
        <w:t>1.覆盖院校师生及社会大众的需求，单台普通 WEB 通信并发不小于1000。</w:t>
      </w:r>
    </w:p>
    <w:p>
      <w:pPr>
        <w:pStyle w:val="2"/>
        <w:keepNext w:val="0"/>
        <w:keepLines w:val="0"/>
        <w:pageBreakBefore w:val="0"/>
        <w:widowControl w:val="0"/>
        <w:kinsoku/>
        <w:wordWrap/>
        <w:overflowPunct/>
        <w:topLinePunct w:val="0"/>
        <w:autoSpaceDE/>
        <w:autoSpaceDN/>
        <w:bidi w:val="0"/>
        <w:snapToGrid/>
        <w:spacing w:line="360" w:lineRule="auto"/>
        <w:ind w:firstLine="420" w:firstLineChars="200"/>
        <w:rPr>
          <w:rFonts w:hint="eastAsia"/>
          <w:b w:val="0"/>
          <w:bCs w:val="0"/>
          <w:color w:val="auto"/>
          <w:lang w:val="en-US" w:eastAsia="zh-CN"/>
        </w:rPr>
      </w:pPr>
      <w:r>
        <w:rPr>
          <w:rFonts w:hint="eastAsia"/>
          <w:b w:val="0"/>
          <w:bCs w:val="0"/>
          <w:color w:val="auto"/>
          <w:lang w:val="en-US" w:eastAsia="zh-CN"/>
        </w:rPr>
        <w:t>2.系统采用B/S架构访问。</w:t>
      </w:r>
    </w:p>
    <w:p>
      <w:pPr>
        <w:pStyle w:val="2"/>
        <w:keepNext w:val="0"/>
        <w:keepLines w:val="0"/>
        <w:pageBreakBefore w:val="0"/>
        <w:widowControl w:val="0"/>
        <w:kinsoku/>
        <w:wordWrap/>
        <w:overflowPunct/>
        <w:topLinePunct w:val="0"/>
        <w:autoSpaceDE/>
        <w:autoSpaceDN/>
        <w:bidi w:val="0"/>
        <w:snapToGrid/>
        <w:spacing w:line="360" w:lineRule="auto"/>
        <w:ind w:firstLine="420" w:firstLineChars="200"/>
        <w:rPr>
          <w:rFonts w:hint="eastAsia"/>
          <w:b w:val="0"/>
          <w:bCs w:val="0"/>
          <w:color w:val="auto"/>
          <w:lang w:val="en-US" w:eastAsia="zh-CN"/>
        </w:rPr>
      </w:pPr>
      <w:r>
        <w:rPr>
          <w:rFonts w:hint="eastAsia"/>
          <w:b w:val="0"/>
          <w:bCs w:val="0"/>
          <w:color w:val="auto"/>
          <w:lang w:val="en-US" w:eastAsia="zh-CN"/>
        </w:rPr>
        <w:t>3.支持2K 30FPS 在线播放，资源加载、运行、交互等操作，画面显示流畅，要素展示齐全、准确，无明显卡滞、停顿。</w:t>
      </w:r>
    </w:p>
    <w:p>
      <w:pPr>
        <w:pStyle w:val="2"/>
        <w:keepNext w:val="0"/>
        <w:keepLines w:val="0"/>
        <w:pageBreakBefore w:val="0"/>
        <w:widowControl w:val="0"/>
        <w:kinsoku/>
        <w:wordWrap/>
        <w:overflowPunct/>
        <w:topLinePunct w:val="0"/>
        <w:autoSpaceDE/>
        <w:autoSpaceDN/>
        <w:bidi w:val="0"/>
        <w:snapToGrid/>
        <w:spacing w:line="360" w:lineRule="auto"/>
        <w:ind w:firstLine="420" w:firstLineChars="200"/>
        <w:rPr>
          <w:rFonts w:hint="eastAsia"/>
          <w:b w:val="0"/>
          <w:bCs w:val="0"/>
          <w:color w:val="auto"/>
          <w:lang w:val="en-US" w:eastAsia="zh-CN"/>
        </w:rPr>
      </w:pPr>
      <w:r>
        <w:rPr>
          <w:rFonts w:hint="eastAsia"/>
          <w:b w:val="0"/>
          <w:bCs w:val="0"/>
          <w:color w:val="auto"/>
          <w:lang w:val="en-US" w:eastAsia="zh-CN"/>
        </w:rPr>
        <w:t>4.虚仿资源的加载，支持WebGL嵌入。</w:t>
      </w:r>
    </w:p>
    <w:p>
      <w:pPr>
        <w:pStyle w:val="2"/>
        <w:keepNext w:val="0"/>
        <w:keepLines w:val="0"/>
        <w:pageBreakBefore w:val="0"/>
        <w:widowControl w:val="0"/>
        <w:kinsoku/>
        <w:wordWrap/>
        <w:overflowPunct/>
        <w:topLinePunct w:val="0"/>
        <w:autoSpaceDE/>
        <w:autoSpaceDN/>
        <w:bidi w:val="0"/>
        <w:snapToGrid/>
        <w:spacing w:line="360" w:lineRule="auto"/>
        <w:ind w:firstLine="420" w:firstLineChars="200"/>
        <w:rPr>
          <w:rFonts w:hint="eastAsia"/>
          <w:b w:val="0"/>
          <w:bCs w:val="0"/>
          <w:color w:val="auto"/>
          <w:lang w:val="en-US" w:eastAsia="zh-CN"/>
        </w:rPr>
      </w:pPr>
      <w:r>
        <w:rPr>
          <w:rFonts w:hint="eastAsia"/>
          <w:b w:val="0"/>
          <w:bCs w:val="0"/>
          <w:color w:val="auto"/>
          <w:lang w:val="en-US" w:eastAsia="zh-CN"/>
        </w:rPr>
        <w:t>5.视频资源支持mp4、MOV、AVI格式。</w:t>
      </w:r>
    </w:p>
    <w:p>
      <w:pPr>
        <w:pStyle w:val="2"/>
        <w:keepNext w:val="0"/>
        <w:keepLines w:val="0"/>
        <w:pageBreakBefore w:val="0"/>
        <w:widowControl w:val="0"/>
        <w:kinsoku/>
        <w:wordWrap/>
        <w:overflowPunct/>
        <w:topLinePunct w:val="0"/>
        <w:autoSpaceDE/>
        <w:autoSpaceDN/>
        <w:bidi w:val="0"/>
        <w:snapToGrid/>
        <w:spacing w:line="360" w:lineRule="auto"/>
        <w:ind w:firstLine="420" w:firstLineChars="200"/>
        <w:rPr>
          <w:rFonts w:hint="eastAsia"/>
          <w:b w:val="0"/>
          <w:bCs w:val="0"/>
          <w:color w:val="auto"/>
          <w:lang w:val="en-US" w:eastAsia="zh-CN"/>
        </w:rPr>
      </w:pPr>
      <w:r>
        <w:rPr>
          <w:rFonts w:hint="eastAsia"/>
          <w:b w:val="0"/>
          <w:bCs w:val="0"/>
          <w:color w:val="auto"/>
          <w:lang w:val="en-US" w:eastAsia="zh-CN"/>
        </w:rPr>
        <w:t>6.音频资源支持MP3、AAC格式。</w:t>
      </w:r>
    </w:p>
    <w:p>
      <w:pPr>
        <w:pStyle w:val="2"/>
        <w:keepNext w:val="0"/>
        <w:keepLines w:val="0"/>
        <w:pageBreakBefore w:val="0"/>
        <w:widowControl w:val="0"/>
        <w:kinsoku/>
        <w:wordWrap/>
        <w:overflowPunct/>
        <w:topLinePunct w:val="0"/>
        <w:autoSpaceDE/>
        <w:autoSpaceDN/>
        <w:bidi w:val="0"/>
        <w:snapToGrid/>
        <w:spacing w:line="360" w:lineRule="auto"/>
        <w:ind w:firstLine="420" w:firstLineChars="200"/>
        <w:rPr>
          <w:rFonts w:hint="eastAsia"/>
          <w:b w:val="0"/>
          <w:bCs w:val="0"/>
          <w:color w:val="auto"/>
          <w:lang w:val="en-US" w:eastAsia="zh-CN"/>
        </w:rPr>
      </w:pPr>
      <w:r>
        <w:rPr>
          <w:rFonts w:hint="eastAsia"/>
          <w:b w:val="0"/>
          <w:bCs w:val="0"/>
          <w:color w:val="auto"/>
          <w:lang w:val="en-US" w:eastAsia="zh-CN"/>
        </w:rPr>
        <w:t>7.视频资源可以前进、后退、暂停、播放、可以调节音量。</w:t>
      </w:r>
    </w:p>
    <w:p>
      <w:pPr>
        <w:pStyle w:val="2"/>
        <w:keepNext w:val="0"/>
        <w:keepLines w:val="0"/>
        <w:pageBreakBefore w:val="0"/>
        <w:widowControl w:val="0"/>
        <w:kinsoku/>
        <w:wordWrap/>
        <w:overflowPunct/>
        <w:topLinePunct w:val="0"/>
        <w:autoSpaceDE/>
        <w:autoSpaceDN/>
        <w:bidi w:val="0"/>
        <w:snapToGrid/>
        <w:spacing w:line="360" w:lineRule="auto"/>
        <w:ind w:firstLine="420" w:firstLineChars="200"/>
        <w:rPr>
          <w:rFonts w:hint="eastAsia"/>
          <w:b w:val="0"/>
          <w:bCs w:val="0"/>
          <w:color w:val="auto"/>
          <w:lang w:val="en-US" w:eastAsia="zh-CN"/>
        </w:rPr>
      </w:pPr>
      <w:r>
        <w:rPr>
          <w:rFonts w:hint="eastAsia"/>
          <w:b w:val="0"/>
          <w:bCs w:val="0"/>
          <w:color w:val="auto"/>
          <w:lang w:val="en-US" w:eastAsia="zh-CN"/>
        </w:rPr>
        <w:t>8.系统采用扁平化设计，操作简洁，用户界面友好，系统的设计必须按照灵活扩展容量的要求进行设计开发，同时保证系统扩展操作简便易行。</w:t>
      </w:r>
    </w:p>
    <w:p>
      <w:pPr>
        <w:pStyle w:val="2"/>
        <w:keepNext w:val="0"/>
        <w:keepLines w:val="0"/>
        <w:pageBreakBefore w:val="0"/>
        <w:widowControl w:val="0"/>
        <w:kinsoku/>
        <w:wordWrap/>
        <w:overflowPunct/>
        <w:topLinePunct w:val="0"/>
        <w:autoSpaceDE/>
        <w:autoSpaceDN/>
        <w:bidi w:val="0"/>
        <w:snapToGrid/>
        <w:spacing w:line="360" w:lineRule="auto"/>
        <w:ind w:firstLine="420" w:firstLineChars="200"/>
        <w:rPr>
          <w:rFonts w:hint="eastAsia"/>
          <w:b w:val="0"/>
          <w:bCs w:val="0"/>
          <w:color w:val="auto"/>
          <w:lang w:val="en-US" w:eastAsia="zh-CN"/>
        </w:rPr>
      </w:pPr>
      <w:r>
        <w:rPr>
          <w:rFonts w:hint="eastAsia"/>
          <w:b w:val="0"/>
          <w:bCs w:val="0"/>
          <w:color w:val="auto"/>
          <w:lang w:val="en-US" w:eastAsia="zh-CN"/>
        </w:rPr>
        <w:t>（五）报价要求:总价不能超过项目预算控制价，分项报价不能超过分项控制价。</w:t>
      </w:r>
    </w:p>
    <w:p>
      <w:pPr>
        <w:pStyle w:val="3"/>
        <w:numPr>
          <w:ilvl w:val="0"/>
          <w:numId w:val="3"/>
        </w:numPr>
        <w:ind w:left="0" w:leftChars="0" w:firstLine="420" w:firstLineChars="200"/>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付款方式</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textAlignment w:val="auto"/>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（一）本项目按合同金额的5%设履约保证金，签订合同前交清，校内验收合格后一个月内无息退还；</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textAlignment w:val="auto"/>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（二）验收分两步。第一步校内聘请专家组织验收，验收合格后，一个月内付合同总金额70%；第二步接受省教育厅验收，验收合格后，一个月内付合同余款。</w:t>
      </w:r>
    </w:p>
    <w:p>
      <w:pPr>
        <w:pStyle w:val="3"/>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售后服务</w:t>
      </w:r>
    </w:p>
    <w:p>
      <w:pPr>
        <w:pStyle w:val="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1.中标人需提供7×24小时的技术服务，并提供所供软件3年免费升级服务（如需增加新的功能模块和需求，迭代开发费用另算）。在接到采购人通知后，对一般的支持响应时间不超过2小时，若出现重大问题，相关服务人员须在24小时内组织专业服务队伍到达现场进行处理。</w:t>
      </w:r>
    </w:p>
    <w:p>
      <w:pPr>
        <w:pStyle w:val="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2.现代农机数字博物馆项目所有权归娄底职业技术学院。</w:t>
      </w:r>
    </w:p>
    <w:p>
      <w:pPr>
        <w:pStyle w:val="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3.现代农机数字博物馆项目中涉及的图片、视频、模型和制作过程中产生的颗粒化数字资源文件，颗粒化资源数量不少于400条，以整体打包的方式全部提交给学校，并协助学校上传至省级教学资源库，并同步上传此线上博物馆。</w:t>
      </w:r>
    </w:p>
    <w:p>
      <w:pPr>
        <w:pStyle w:val="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4. 现代农机数字博物馆项目上线后，合作方提供数字博物馆URL地址（外部链接），以便学校在虚拟仿真实训平台中访问。</w:t>
      </w:r>
    </w:p>
    <w:p>
      <w:pPr>
        <w:pStyle w:val="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5.供应商从验收合格开始提供三年内免费更新和维护.</w:t>
      </w:r>
    </w:p>
    <w:p>
      <w:pPr>
        <w:pStyle w:val="3"/>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00" w:firstLineChars="0"/>
        <w:textAlignment w:val="auto"/>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其它</w:t>
      </w:r>
    </w:p>
    <w:p>
      <w:pPr>
        <w:pStyle w:val="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技术参数详见附件，所有报价为含税价，包括模型采集、资源制作、合成、编辑、上传与平台运行等一切费用。如有疑问咨询联系人：李老师15080803379。</w:t>
      </w:r>
    </w:p>
    <w:p>
      <w:pPr>
        <w:pStyle w:val="3"/>
        <w:rPr>
          <w:rFonts w:hint="eastAsia" w:ascii="宋体" w:hAnsi="宋体"/>
          <w:color w:val="auto"/>
          <w:sz w:val="32"/>
        </w:rPr>
      </w:pPr>
    </w:p>
    <w:p>
      <w:pPr>
        <w:pStyle w:val="4"/>
        <w:rPr>
          <w:rFonts w:hint="eastAsia" w:ascii="宋体" w:hAnsi="宋体"/>
          <w:color w:val="auto"/>
          <w:sz w:val="32"/>
        </w:rPr>
      </w:pPr>
    </w:p>
    <w:p>
      <w:pPr>
        <w:rPr>
          <w:rFonts w:hint="eastAsia" w:ascii="宋体" w:hAnsi="宋体"/>
          <w:color w:val="auto"/>
          <w:sz w:val="32"/>
        </w:rPr>
      </w:pPr>
    </w:p>
    <w:p>
      <w:pPr>
        <w:pStyle w:val="2"/>
        <w:rPr>
          <w:rFonts w:hint="eastAsia" w:ascii="宋体" w:hAnsi="宋体"/>
          <w:color w:val="auto"/>
          <w:sz w:val="32"/>
        </w:rPr>
      </w:pPr>
    </w:p>
    <w:p>
      <w:pPr>
        <w:pStyle w:val="3"/>
        <w:rPr>
          <w:rFonts w:hint="eastAsia" w:ascii="宋体" w:hAnsi="宋体"/>
          <w:color w:val="auto"/>
          <w:sz w:val="32"/>
        </w:rPr>
      </w:pPr>
    </w:p>
    <w:p>
      <w:pPr>
        <w:pStyle w:val="4"/>
        <w:rPr>
          <w:rFonts w:hint="eastAsia" w:ascii="宋体" w:hAnsi="宋体"/>
          <w:color w:val="auto"/>
          <w:sz w:val="32"/>
        </w:rPr>
      </w:pPr>
    </w:p>
    <w:p>
      <w:pPr>
        <w:rPr>
          <w:rFonts w:hint="eastAsia" w:ascii="宋体" w:hAnsi="宋体"/>
          <w:color w:val="auto"/>
          <w:sz w:val="32"/>
        </w:rPr>
      </w:pPr>
    </w:p>
    <w:p>
      <w:pPr>
        <w:pStyle w:val="2"/>
        <w:rPr>
          <w:rFonts w:hint="eastAsia" w:ascii="宋体" w:hAnsi="宋体"/>
          <w:color w:val="auto"/>
          <w:sz w:val="32"/>
        </w:rPr>
      </w:pPr>
    </w:p>
    <w:p>
      <w:pPr>
        <w:pStyle w:val="3"/>
        <w:rPr>
          <w:rFonts w:hint="eastAsia" w:ascii="宋体" w:hAnsi="宋体"/>
          <w:color w:val="auto"/>
          <w:sz w:val="32"/>
        </w:rPr>
      </w:pPr>
    </w:p>
    <w:p>
      <w:pPr>
        <w:pStyle w:val="4"/>
        <w:rPr>
          <w:rFonts w:hint="eastAsia" w:ascii="宋体" w:hAnsi="宋体"/>
          <w:color w:val="auto"/>
          <w:sz w:val="32"/>
        </w:rPr>
      </w:pPr>
    </w:p>
    <w:p>
      <w:pPr>
        <w:rPr>
          <w:rFonts w:hint="eastAsia" w:ascii="宋体" w:hAnsi="宋体"/>
          <w:color w:val="auto"/>
          <w:sz w:val="32"/>
        </w:rPr>
      </w:pPr>
    </w:p>
    <w:p>
      <w:pPr>
        <w:pStyle w:val="2"/>
        <w:rPr>
          <w:rFonts w:hint="eastAsia" w:ascii="宋体" w:hAnsi="宋体"/>
          <w:color w:val="auto"/>
          <w:sz w:val="32"/>
        </w:rPr>
      </w:pPr>
    </w:p>
    <w:p>
      <w:pPr>
        <w:pStyle w:val="3"/>
        <w:rPr>
          <w:rFonts w:hint="eastAsia"/>
          <w:color w:val="auto"/>
        </w:rPr>
      </w:pPr>
    </w:p>
    <w:p>
      <w:pPr>
        <w:pStyle w:val="3"/>
        <w:rPr>
          <w:rFonts w:hint="eastAsia" w:ascii="宋体" w:hAnsi="宋体"/>
          <w:color w:val="auto"/>
          <w:sz w:val="32"/>
        </w:rPr>
      </w:pPr>
    </w:p>
    <w:p>
      <w:pPr>
        <w:pStyle w:val="3"/>
        <w:rPr>
          <w:rFonts w:hint="eastAsia" w:ascii="宋体" w:hAnsi="宋体"/>
          <w:color w:val="auto"/>
          <w:sz w:val="32"/>
        </w:rPr>
      </w:pPr>
      <w:r>
        <w:rPr>
          <w:rFonts w:hint="eastAsia" w:ascii="宋体" w:hAnsi="宋体"/>
          <w:color w:val="auto"/>
          <w:sz w:val="32"/>
        </w:rPr>
        <w:t>附件1</w:t>
      </w:r>
    </w:p>
    <w:p>
      <w:pPr>
        <w:adjustRightInd w:val="0"/>
        <w:snapToGrid w:val="0"/>
        <w:spacing w:before="156" w:beforeLines="50" w:line="300" w:lineRule="auto"/>
        <w:ind w:firstLine="643" w:firstLineChars="200"/>
        <w:jc w:val="center"/>
        <w:rPr>
          <w:rFonts w:ascii="宋体" w:hAnsi="宋体"/>
          <w:b/>
          <w:bCs/>
          <w:color w:val="auto"/>
          <w:sz w:val="32"/>
          <w:szCs w:val="28"/>
        </w:rPr>
      </w:pPr>
      <w:r>
        <w:rPr>
          <w:rFonts w:hint="eastAsia" w:ascii="宋体" w:hAnsi="宋体"/>
          <w:b/>
          <w:bCs/>
          <w:color w:val="auto"/>
          <w:sz w:val="32"/>
          <w:szCs w:val="28"/>
        </w:rPr>
        <w:t>平台功能及内容要求</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1.平台隶属于湖南职业教育智慧教育平台，需符合湖南职业教育智慧教育平台技术标准。</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2.主界面及要求</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1）以现代农机设备为背景凸显行业特色；主界面显示“现代农机数字博物馆”馆名及农机历史馆、农机产品馆、农机体验馆、农机文化馆、农机企业馆五个场馆名称，用户点击各场馆名称即可进入相应场馆游览参观。</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（2）设计符合现代农机行业特色的数字人带领用户参观整个场馆，并通过语音的方式向用户介绍现代农机博物馆建设情况，讲解历史馆、产品馆、体验馆、文化馆、企业馆。</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（3）支持画面音效开启/关闭功能。</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3.农机历史馆</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（1）主要介绍农机行业发展情况，分为古代农机和现代农机。</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（2）以3D虚拟场景为背景构建农机历史馆子界面。子界面显示 “古代农机馆”和“现代农机馆”名称，用户可点击进入相应馆区游览参观。</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3）古代农机采用游戏风格化，将关于古代农机的器具进行展现，分成学习模式和体验模式，结合AI语音技术，对展示的农机器具进行讲解-名称、用途、时代，凸显农机器具在石器时代、铁器时代、青铜器时代的变迁。</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（4）现代农机的内容融合3D数字人对农业机械的用途、内容介绍进行讲解；主要展示现代农用方面用到的机械，按照南北方的差异，在不同的农作物上用不同的机器。</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（5）场景内支持背景音乐。</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4.农机产品馆</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（1）主要介绍现代农机行业的典型设备，对典型设备进行直观的展示，让用户对设备的基本构成、功能及主要结构等有比较全面的了解。</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（2）以3D虚拟场景为背景构建农机产品馆子界面。子界面显示典型设备名称，用户可点击设备名称进入相应界面游览参观。</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（3）典型设备主要包括插秧机、水稻收割机、植保无人机、旋耕机和烘干机。</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（4）每个设备介绍中需充分应用图文、视频、动画等形式，对设备进行科普介绍、直观展示。视频可以前进、后退、暂停、播放。</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5.农机企业馆</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1）主要介绍现代农机行业有代表性的企业，根据农机行业情况，以农机产业园（双峰农机小镇、湖南农机产业园、重庆万州国家农业公园、湖北京山农机装备制造产业园、四川现代农机产业园）和农机企业（耕整地机械类、动力机械类、植保机械类、农产品收获机械类、农产品加工机械）两大类进行介绍。</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（2）以3D虚拟场景为背景构建农机行业企业馆子界面，每种类型企业呈现方式有所不同。用户进入企业相应界面游览参观时可适当增强趣味性、互动性。</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（3）企业馆界面具有语音介绍功能，根据企业类型进行整体概况介绍。</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（4）每个企业介绍主要以图文、视频、语音的方式进行展示。</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6.农机文化馆</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1）主要聚焦农机行业的名师名匠、故事事件、行业精神等主题，让用户认识理解行业内涵、行业特色和成长路径，描绘主要岗位工作前景，为学生职业规划提供参考。主要包括农机工匠、耕读文化、展会交流和神话故事四个板块。</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（2）以3D虚拟场景为背景构建农机文化馆子界面，显示四个板块名称。进入场馆具有语音介绍功能。进入各板块游览参观方式具有一定的趣味性和互动性。支持场景背景音乐。</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 xml:space="preserve">（3）农机工匠板块，主要展示设计大师、工匠大师、工匠精神。主要以图文、音视频形式展示。 </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（4）耕读文化板块，主要展示名人名言、名人事迹、古迹寻踪等内容。主要以图文、音视频形式展示。</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（5）展会交流板块，主要展示农博会和湘博会两大部分。主要以图文、视频的方式进行展示。</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（6）神话故事板块，主要以3D模型人物为载体，辅以图文、语音等形式进行展示。</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7.农机体验馆</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（1）主要展示插秧机、谷物联合收割机、旋耕机和植保无人机等方面的典型工作岗位和典型工作场景。</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（2）以3D虚拟场景为背景构建农机行业体验馆子界面，显示4个典型工作岗位名称。场景建设需具农机行业特色，进入场馆具有语音介绍功能。进入各典型工作岗位参观体验方式具有一定的趣味性。</w:t>
      </w:r>
    </w:p>
    <w:p>
      <w:pPr>
        <w:adjustRightInd w:val="0"/>
        <w:snapToGrid w:val="0"/>
        <w:spacing w:line="300" w:lineRule="auto"/>
        <w:ind w:firstLine="495" w:firstLineChars="236"/>
        <w:jc w:val="left"/>
        <w:rPr>
          <w:rFonts w:hint="eastAsia" w:ascii="Calibri" w:hAnsi="Calibri" w:eastAsia="宋体" w:cs="Times New Roman"/>
          <w:b w:val="0"/>
          <w:bCs w:val="0"/>
          <w:color w:val="auto"/>
          <w:kern w:val="2"/>
          <w:sz w:val="21"/>
          <w:szCs w:val="24"/>
          <w:lang w:val="en-US" w:eastAsia="zh-CN" w:bidi="ar-SA"/>
        </w:rPr>
      </w:pPr>
      <w:r>
        <w:rPr>
          <w:rFonts w:hint="eastAsia" w:ascii="Calibri" w:hAnsi="Calibri" w:eastAsia="宋体" w:cs="Times New Roman"/>
          <w:b w:val="0"/>
          <w:bCs w:val="0"/>
          <w:color w:val="auto"/>
          <w:kern w:val="2"/>
          <w:sz w:val="21"/>
          <w:szCs w:val="24"/>
          <w:lang w:val="en-US" w:eastAsia="zh-CN" w:bidi="ar-SA"/>
        </w:rPr>
        <w:t>（3）主要通过视频展示、动画表现、虚拟现实、互动实现等技术手段再现行业的典型工作岗位及工作场景，让用户直接虚拟体验工作过程，了解工作流程，提高和激发学习兴趣。</w:t>
      </w:r>
    </w:p>
    <w:p>
      <w:pPr>
        <w:pStyle w:val="5"/>
        <w:ind w:firstLine="420" w:firstLineChars="200"/>
        <w:rPr>
          <w:rFonts w:hint="eastAsia" w:ascii="Calibri" w:hAnsi="Calibri" w:cs="Times New Roman"/>
          <w:b w:val="0"/>
          <w:bCs w:val="0"/>
          <w:color w:val="auto"/>
          <w:kern w:val="2"/>
          <w:sz w:val="21"/>
          <w:szCs w:val="24"/>
          <w:lang w:val="en-US" w:eastAsia="zh-CN" w:bidi="ar-SA"/>
        </w:rPr>
      </w:pPr>
      <w:r>
        <w:rPr>
          <w:rFonts w:hint="eastAsia" w:ascii="Calibri" w:hAnsi="Calibri" w:cs="Times New Roman"/>
          <w:b w:val="0"/>
          <w:bCs w:val="0"/>
          <w:color w:val="auto"/>
          <w:kern w:val="2"/>
          <w:sz w:val="21"/>
          <w:szCs w:val="24"/>
          <w:lang w:val="en-US" w:eastAsia="zh-CN" w:bidi="ar-SA"/>
        </w:rPr>
        <w:t>8.其他要求</w:t>
      </w:r>
    </w:p>
    <w:p>
      <w:pPr>
        <w:pStyle w:val="5"/>
        <w:ind w:firstLine="630" w:firstLineChars="300"/>
        <w:rPr>
          <w:rFonts w:hint="default"/>
          <w:b w:val="0"/>
          <w:bCs w:val="0"/>
          <w:color w:val="auto"/>
          <w:lang w:val="en-US" w:eastAsia="zh-CN"/>
        </w:rPr>
      </w:pPr>
      <w:r>
        <w:rPr>
          <w:rFonts w:hint="eastAsia" w:ascii="Calibri" w:hAnsi="Calibri" w:eastAsia="宋体" w:cs="Times New Roman"/>
          <w:b w:val="0"/>
          <w:bCs w:val="0"/>
          <w:color w:val="auto"/>
          <w:kern w:val="2"/>
          <w:sz w:val="21"/>
          <w:szCs w:val="24"/>
          <w:lang w:val="en-US" w:eastAsia="zh-CN" w:bidi="ar-SA"/>
        </w:rPr>
        <w:t>（</w:t>
      </w:r>
      <w:r>
        <w:rPr>
          <w:rFonts w:hint="eastAsia" w:ascii="Calibri" w:hAnsi="Calibri" w:cs="Times New Roman"/>
          <w:b w:val="0"/>
          <w:bCs w:val="0"/>
          <w:color w:val="auto"/>
          <w:kern w:val="2"/>
          <w:sz w:val="21"/>
          <w:szCs w:val="24"/>
          <w:lang w:val="en-US" w:eastAsia="zh-CN" w:bidi="ar-SA"/>
        </w:rPr>
        <w:t>1</w:t>
      </w:r>
      <w:r>
        <w:rPr>
          <w:rFonts w:hint="eastAsia" w:ascii="Calibri" w:hAnsi="Calibri" w:eastAsia="宋体" w:cs="Times New Roman"/>
          <w:b w:val="0"/>
          <w:bCs w:val="0"/>
          <w:color w:val="auto"/>
          <w:kern w:val="2"/>
          <w:sz w:val="21"/>
          <w:szCs w:val="24"/>
          <w:lang w:val="en-US" w:eastAsia="zh-CN" w:bidi="ar-SA"/>
        </w:rPr>
        <w:t>）</w:t>
      </w:r>
      <w:r>
        <w:rPr>
          <w:rFonts w:hint="eastAsia" w:ascii="Calibri" w:hAnsi="Calibri" w:cs="Times New Roman"/>
          <w:b w:val="0"/>
          <w:bCs w:val="0"/>
          <w:color w:val="auto"/>
          <w:kern w:val="2"/>
          <w:sz w:val="21"/>
          <w:szCs w:val="24"/>
          <w:lang w:val="en-US" w:eastAsia="zh-CN" w:bidi="ar-SA"/>
        </w:rPr>
        <w:t>供应商还需配合采购人联系相关部门采集相关项目信息。</w:t>
      </w:r>
    </w:p>
    <w:p>
      <w:pPr>
        <w:pStyle w:val="3"/>
        <w:rPr>
          <w:rFonts w:hint="eastAsia" w:ascii="宋体" w:hAnsi="宋体"/>
          <w:color w:val="auto"/>
        </w:rPr>
      </w:pPr>
    </w:p>
    <w:p>
      <w:pPr>
        <w:pStyle w:val="4"/>
        <w:rPr>
          <w:rFonts w:ascii="宋体" w:hAnsi="宋体"/>
          <w:color w:val="auto"/>
        </w:rPr>
        <w:sectPr>
          <w:pgSz w:w="11906" w:h="16838"/>
          <w:pgMar w:top="1440" w:right="1800" w:bottom="1440" w:left="1800" w:header="851" w:footer="992" w:gutter="0"/>
          <w:cols w:space="720" w:num="1"/>
          <w:docGrid w:type="lines" w:linePitch="312" w:charSpace="0"/>
        </w:sectPr>
      </w:pPr>
    </w:p>
    <w:p>
      <w:pPr>
        <w:pStyle w:val="2"/>
        <w:rPr>
          <w:rFonts w:hint="eastAsia"/>
          <w:color w:val="auto"/>
        </w:rPr>
      </w:pPr>
    </w:p>
    <w:p>
      <w:pPr>
        <w:adjustRightInd w:val="0"/>
        <w:snapToGrid w:val="0"/>
        <w:spacing w:line="360" w:lineRule="auto"/>
        <w:ind w:firstLine="3213" w:firstLineChars="1000"/>
        <w:rPr>
          <w:rFonts w:hint="eastAsia" w:ascii="黑体" w:eastAsia="黑体"/>
          <w:b/>
          <w:color w:val="auto"/>
          <w:sz w:val="32"/>
          <w:szCs w:val="32"/>
        </w:rPr>
      </w:pPr>
      <w:r>
        <w:rPr>
          <w:rFonts w:hint="eastAsia" w:ascii="黑体" w:eastAsia="黑体"/>
          <w:b/>
          <w:color w:val="auto"/>
          <w:sz w:val="32"/>
          <w:szCs w:val="32"/>
        </w:rPr>
        <w:t>第五章 响应文件组成</w:t>
      </w:r>
    </w:p>
    <w:p>
      <w:pPr>
        <w:spacing w:line="360" w:lineRule="exact"/>
        <w:rPr>
          <w:rFonts w:hint="eastAsia" w:ascii="宋体"/>
          <w:color w:val="auto"/>
        </w:rPr>
      </w:pPr>
    </w:p>
    <w:p>
      <w:pPr>
        <w:spacing w:line="360" w:lineRule="auto"/>
        <w:rPr>
          <w:rFonts w:hint="eastAsia" w:ascii="宋体"/>
          <w:color w:val="auto"/>
        </w:rPr>
      </w:pPr>
      <w:r>
        <w:rPr>
          <w:rFonts w:hint="eastAsia" w:ascii="宋体"/>
          <w:color w:val="auto"/>
        </w:rPr>
        <w:t>供应商的响应文件应包含以下八个部分：</w:t>
      </w:r>
    </w:p>
    <w:p>
      <w:pPr>
        <w:adjustRightInd w:val="0"/>
        <w:snapToGrid w:val="0"/>
        <w:spacing w:line="360" w:lineRule="auto"/>
        <w:jc w:val="left"/>
        <w:outlineLvl w:val="0"/>
        <w:rPr>
          <w:rFonts w:hint="eastAsia" w:ascii="宋体" w:hAnsi="宋体"/>
          <w:b/>
          <w:color w:val="auto"/>
          <w:szCs w:val="21"/>
        </w:rPr>
      </w:pPr>
      <w:r>
        <w:rPr>
          <w:rFonts w:hint="eastAsia" w:ascii="宋体" w:hAnsi="宋体"/>
          <w:b/>
          <w:color w:val="auto"/>
          <w:szCs w:val="21"/>
        </w:rPr>
        <w:t>一、磋商响应声明</w:t>
      </w:r>
    </w:p>
    <w:p>
      <w:pPr>
        <w:adjustRightInd w:val="0"/>
        <w:snapToGrid w:val="0"/>
        <w:spacing w:line="360" w:lineRule="auto"/>
        <w:ind w:firstLine="420" w:firstLineChars="200"/>
        <w:jc w:val="left"/>
        <w:outlineLvl w:val="0"/>
        <w:rPr>
          <w:rFonts w:hint="eastAsia" w:ascii="宋体" w:hAnsi="宋体"/>
          <w:color w:val="auto"/>
          <w:szCs w:val="21"/>
        </w:rPr>
      </w:pPr>
      <w:r>
        <w:rPr>
          <w:rFonts w:hint="eastAsia" w:ascii="宋体" w:hAnsi="宋体"/>
          <w:color w:val="auto"/>
          <w:szCs w:val="21"/>
        </w:rPr>
        <w:t>附件1：法定代表人身份证明</w:t>
      </w:r>
    </w:p>
    <w:p>
      <w:pPr>
        <w:adjustRightInd w:val="0"/>
        <w:snapToGrid w:val="0"/>
        <w:spacing w:line="360" w:lineRule="auto"/>
        <w:ind w:firstLine="420" w:firstLineChars="200"/>
        <w:jc w:val="left"/>
        <w:outlineLvl w:val="0"/>
        <w:rPr>
          <w:rFonts w:hint="eastAsia" w:ascii="宋体" w:hAnsi="宋体"/>
          <w:color w:val="auto"/>
          <w:szCs w:val="21"/>
        </w:rPr>
      </w:pPr>
      <w:r>
        <w:rPr>
          <w:rFonts w:hint="eastAsia" w:ascii="宋体" w:hAnsi="宋体"/>
          <w:color w:val="auto"/>
          <w:szCs w:val="21"/>
        </w:rPr>
        <w:t>附件2：法定代表人授权委托书</w:t>
      </w:r>
    </w:p>
    <w:p>
      <w:pPr>
        <w:adjustRightInd w:val="0"/>
        <w:snapToGrid w:val="0"/>
        <w:spacing w:line="360" w:lineRule="auto"/>
        <w:jc w:val="left"/>
        <w:outlineLvl w:val="0"/>
        <w:rPr>
          <w:rFonts w:hint="eastAsia" w:ascii="宋体" w:hAnsi="宋体"/>
          <w:b/>
          <w:color w:val="auto"/>
          <w:szCs w:val="21"/>
        </w:rPr>
      </w:pPr>
      <w:r>
        <w:rPr>
          <w:rFonts w:hint="eastAsia" w:ascii="宋体" w:hAnsi="宋体"/>
          <w:b/>
          <w:color w:val="auto"/>
          <w:szCs w:val="21"/>
        </w:rPr>
        <w:t>二、保证金</w:t>
      </w:r>
    </w:p>
    <w:p>
      <w:pPr>
        <w:adjustRightInd w:val="0"/>
        <w:snapToGrid w:val="0"/>
        <w:spacing w:line="360" w:lineRule="auto"/>
        <w:jc w:val="left"/>
        <w:outlineLvl w:val="0"/>
        <w:rPr>
          <w:rFonts w:hint="eastAsia" w:ascii="宋体" w:hAnsi="宋体"/>
          <w:b/>
          <w:color w:val="auto"/>
          <w:szCs w:val="21"/>
        </w:rPr>
      </w:pPr>
      <w:r>
        <w:rPr>
          <w:rFonts w:hint="eastAsia" w:ascii="宋体" w:hAnsi="宋体"/>
          <w:b/>
          <w:color w:val="auto"/>
          <w:szCs w:val="21"/>
        </w:rPr>
        <w:t>三、供应商的资格证明资料</w:t>
      </w:r>
    </w:p>
    <w:p>
      <w:pPr>
        <w:adjustRightInd w:val="0"/>
        <w:snapToGrid w:val="0"/>
        <w:spacing w:line="360" w:lineRule="auto"/>
        <w:ind w:firstLine="420" w:firstLineChars="200"/>
        <w:jc w:val="left"/>
        <w:outlineLvl w:val="0"/>
        <w:rPr>
          <w:rFonts w:hint="eastAsia" w:ascii="宋体" w:hAnsi="宋体"/>
          <w:color w:val="auto"/>
          <w:szCs w:val="21"/>
        </w:rPr>
      </w:pPr>
      <w:r>
        <w:rPr>
          <w:rFonts w:hint="eastAsia" w:ascii="宋体" w:hAnsi="宋体"/>
          <w:color w:val="auto"/>
          <w:szCs w:val="21"/>
        </w:rPr>
        <w:t>附件3：供应商基本情况表</w:t>
      </w:r>
    </w:p>
    <w:p>
      <w:pPr>
        <w:adjustRightInd w:val="0"/>
        <w:snapToGrid w:val="0"/>
        <w:spacing w:line="360" w:lineRule="auto"/>
        <w:ind w:firstLine="420" w:firstLineChars="200"/>
        <w:outlineLvl w:val="0"/>
        <w:rPr>
          <w:rFonts w:hint="eastAsia" w:ascii="宋体" w:hAnsi="宋体"/>
          <w:color w:val="auto"/>
          <w:szCs w:val="21"/>
        </w:rPr>
      </w:pPr>
      <w:r>
        <w:rPr>
          <w:rFonts w:hint="eastAsia" w:ascii="宋体" w:hAnsi="宋体"/>
          <w:color w:val="auto"/>
          <w:szCs w:val="21"/>
        </w:rPr>
        <w:t>附件4：磋商文件规定的基本资格条件证明资料</w:t>
      </w:r>
    </w:p>
    <w:p>
      <w:pPr>
        <w:adjustRightInd w:val="0"/>
        <w:snapToGrid w:val="0"/>
        <w:spacing w:line="360" w:lineRule="auto"/>
        <w:ind w:firstLine="420" w:firstLineChars="200"/>
        <w:outlineLvl w:val="0"/>
        <w:rPr>
          <w:rFonts w:hint="eastAsia" w:ascii="宋体" w:hAnsi="宋体"/>
          <w:color w:val="auto"/>
          <w:szCs w:val="21"/>
        </w:rPr>
      </w:pPr>
      <w:r>
        <w:rPr>
          <w:rFonts w:hint="eastAsia" w:ascii="宋体" w:hAnsi="宋体"/>
          <w:color w:val="auto"/>
          <w:szCs w:val="21"/>
        </w:rPr>
        <w:t>附件5：磋商文件规定的特定资格条件证明资料</w:t>
      </w:r>
    </w:p>
    <w:p>
      <w:pPr>
        <w:adjustRightInd w:val="0"/>
        <w:snapToGrid w:val="0"/>
        <w:spacing w:line="360" w:lineRule="auto"/>
        <w:ind w:firstLine="420" w:firstLineChars="200"/>
        <w:outlineLvl w:val="0"/>
        <w:rPr>
          <w:rFonts w:hint="default" w:eastAsia="宋体"/>
          <w:color w:val="auto"/>
          <w:lang w:val="en-US" w:eastAsia="zh-CN"/>
        </w:rPr>
      </w:pPr>
      <w:r>
        <w:rPr>
          <w:rFonts w:hint="eastAsia" w:ascii="宋体" w:hAnsi="宋体"/>
          <w:color w:val="auto"/>
          <w:szCs w:val="21"/>
          <w:lang w:val="en-US" w:eastAsia="zh-CN"/>
        </w:rPr>
        <w:t>附件6：投标人资格声明（格式）</w:t>
      </w:r>
    </w:p>
    <w:p>
      <w:pPr>
        <w:adjustRightInd w:val="0"/>
        <w:snapToGrid w:val="0"/>
        <w:spacing w:line="360" w:lineRule="auto"/>
        <w:ind w:firstLine="420" w:firstLineChars="200"/>
        <w:outlineLvl w:val="0"/>
        <w:rPr>
          <w:rFonts w:hint="eastAsia" w:ascii="宋体" w:hAnsi="宋体"/>
          <w:bCs/>
          <w:color w:val="auto"/>
          <w:szCs w:val="21"/>
        </w:rPr>
      </w:pPr>
      <w:r>
        <w:rPr>
          <w:rFonts w:hint="eastAsia" w:ascii="宋体" w:hAnsi="宋体"/>
          <w:bCs/>
          <w:color w:val="auto"/>
          <w:szCs w:val="21"/>
        </w:rPr>
        <w:t>附件</w:t>
      </w:r>
      <w:r>
        <w:rPr>
          <w:rFonts w:hint="eastAsia" w:ascii="宋体" w:hAnsi="宋体"/>
          <w:bCs/>
          <w:color w:val="auto"/>
          <w:szCs w:val="21"/>
          <w:lang w:val="en-US" w:eastAsia="zh-CN"/>
        </w:rPr>
        <w:t>7</w:t>
      </w:r>
      <w:r>
        <w:rPr>
          <w:rFonts w:hint="eastAsia" w:ascii="宋体" w:hAnsi="宋体"/>
          <w:bCs/>
          <w:color w:val="auto"/>
          <w:szCs w:val="21"/>
        </w:rPr>
        <w:t>：其他证明资料或说明</w:t>
      </w:r>
    </w:p>
    <w:p>
      <w:pPr>
        <w:pStyle w:val="11"/>
        <w:adjustRightInd w:val="0"/>
        <w:snapToGrid w:val="0"/>
        <w:spacing w:line="360" w:lineRule="auto"/>
        <w:rPr>
          <w:rFonts w:hint="eastAsia" w:hAnsi="宋体"/>
          <w:b/>
          <w:color w:val="auto"/>
        </w:rPr>
      </w:pPr>
      <w:r>
        <w:rPr>
          <w:rFonts w:hint="eastAsia" w:hAnsi="宋体"/>
          <w:b/>
          <w:color w:val="auto"/>
        </w:rPr>
        <w:t>四、施工组织设计方案说明</w:t>
      </w:r>
    </w:p>
    <w:p>
      <w:pPr>
        <w:pStyle w:val="11"/>
        <w:adjustRightInd w:val="0"/>
        <w:snapToGrid w:val="0"/>
        <w:spacing w:line="360" w:lineRule="auto"/>
        <w:ind w:firstLine="435"/>
        <w:rPr>
          <w:rFonts w:hint="eastAsia" w:hAnsi="宋体"/>
          <w:b/>
          <w:color w:val="auto"/>
        </w:rPr>
      </w:pPr>
      <w:r>
        <w:rPr>
          <w:rFonts w:hint="eastAsia" w:hAnsi="宋体"/>
          <w:color w:val="auto"/>
        </w:rPr>
        <w:t>附件</w:t>
      </w:r>
      <w:r>
        <w:rPr>
          <w:rFonts w:hint="eastAsia" w:hAnsi="宋体"/>
          <w:color w:val="auto"/>
          <w:lang w:val="en-US" w:eastAsia="zh-CN"/>
        </w:rPr>
        <w:t>8</w:t>
      </w:r>
      <w:r>
        <w:rPr>
          <w:rFonts w:hint="eastAsia" w:hAnsi="宋体"/>
          <w:color w:val="auto"/>
        </w:rPr>
        <w:t xml:space="preserve">：主要人员简历表 </w:t>
      </w:r>
    </w:p>
    <w:p>
      <w:pPr>
        <w:adjustRightInd w:val="0"/>
        <w:snapToGrid w:val="0"/>
        <w:spacing w:line="360" w:lineRule="auto"/>
        <w:rPr>
          <w:rFonts w:hint="eastAsia" w:hAnsi="宋体"/>
          <w:b/>
          <w:color w:val="auto"/>
        </w:rPr>
      </w:pPr>
      <w:r>
        <w:rPr>
          <w:rFonts w:hint="eastAsia" w:hAnsi="宋体"/>
          <w:b/>
          <w:color w:val="auto"/>
        </w:rPr>
        <w:t>五、技术/商务响应与偏离表</w:t>
      </w:r>
    </w:p>
    <w:p>
      <w:pPr>
        <w:pStyle w:val="11"/>
        <w:adjustRightInd w:val="0"/>
        <w:snapToGrid w:val="0"/>
        <w:spacing w:line="360" w:lineRule="auto"/>
        <w:rPr>
          <w:rFonts w:hint="eastAsia" w:hAnsi="宋体"/>
          <w:b/>
          <w:color w:val="auto"/>
        </w:rPr>
      </w:pPr>
      <w:r>
        <w:rPr>
          <w:rFonts w:hint="eastAsia" w:hAnsi="宋体"/>
          <w:b/>
          <w:color w:val="auto"/>
        </w:rPr>
        <w:t>六、报价一览表及分项价格表</w:t>
      </w:r>
    </w:p>
    <w:p>
      <w:pPr>
        <w:adjustRightInd w:val="0"/>
        <w:snapToGrid w:val="0"/>
        <w:spacing w:line="360" w:lineRule="auto"/>
        <w:ind w:firstLine="420" w:firstLineChars="200"/>
        <w:jc w:val="left"/>
        <w:outlineLvl w:val="0"/>
        <w:rPr>
          <w:rFonts w:hint="eastAsia" w:ascii="宋体" w:hAnsi="宋体"/>
          <w:bCs/>
          <w:color w:val="auto"/>
          <w:szCs w:val="21"/>
        </w:rPr>
      </w:pPr>
      <w:r>
        <w:rPr>
          <w:rFonts w:hint="eastAsia" w:ascii="宋体" w:hAnsi="宋体"/>
          <w:color w:val="auto"/>
          <w:szCs w:val="21"/>
        </w:rPr>
        <w:t>附件</w:t>
      </w:r>
      <w:r>
        <w:rPr>
          <w:rFonts w:hint="eastAsia" w:ascii="宋体" w:hAnsi="宋体"/>
          <w:color w:val="auto"/>
          <w:szCs w:val="21"/>
          <w:lang w:val="en-US" w:eastAsia="zh-CN"/>
        </w:rPr>
        <w:t>9</w:t>
      </w:r>
      <w:r>
        <w:rPr>
          <w:rFonts w:hint="eastAsia" w:ascii="宋体" w:hAnsi="宋体"/>
          <w:color w:val="auto"/>
          <w:szCs w:val="21"/>
        </w:rPr>
        <w:t>：</w:t>
      </w:r>
      <w:r>
        <w:rPr>
          <w:rFonts w:hint="eastAsia" w:ascii="宋体" w:hAnsi="宋体"/>
          <w:bCs/>
          <w:color w:val="auto"/>
          <w:szCs w:val="21"/>
        </w:rPr>
        <w:t>报价一览表</w:t>
      </w:r>
    </w:p>
    <w:p>
      <w:pPr>
        <w:adjustRightInd w:val="0"/>
        <w:snapToGrid w:val="0"/>
        <w:spacing w:line="360" w:lineRule="auto"/>
        <w:ind w:firstLine="420" w:firstLineChars="200"/>
        <w:jc w:val="left"/>
        <w:outlineLvl w:val="0"/>
        <w:rPr>
          <w:rFonts w:hint="eastAsia" w:ascii="宋体" w:hAnsi="宋体"/>
          <w:color w:val="auto"/>
          <w:szCs w:val="21"/>
        </w:rPr>
      </w:pPr>
      <w:r>
        <w:rPr>
          <w:rFonts w:hint="eastAsia" w:ascii="宋体" w:hAnsi="宋体"/>
          <w:bCs/>
          <w:color w:val="auto"/>
          <w:szCs w:val="21"/>
        </w:rPr>
        <w:t>附件</w:t>
      </w:r>
      <w:r>
        <w:rPr>
          <w:rFonts w:hint="eastAsia" w:ascii="宋体" w:hAnsi="宋体"/>
          <w:bCs/>
          <w:color w:val="auto"/>
          <w:szCs w:val="21"/>
          <w:lang w:val="en-US" w:eastAsia="zh-CN"/>
        </w:rPr>
        <w:t>9</w:t>
      </w:r>
      <w:r>
        <w:rPr>
          <w:rFonts w:hint="eastAsia" w:ascii="宋体" w:hAnsi="宋体"/>
          <w:bCs/>
          <w:color w:val="auto"/>
          <w:szCs w:val="21"/>
        </w:rPr>
        <w:t>-1：分项价格表</w:t>
      </w:r>
    </w:p>
    <w:p>
      <w:pPr>
        <w:pStyle w:val="11"/>
        <w:adjustRightInd w:val="0"/>
        <w:snapToGrid w:val="0"/>
        <w:spacing w:line="360" w:lineRule="auto"/>
        <w:rPr>
          <w:rFonts w:hint="eastAsia" w:hAnsi="宋体"/>
          <w:b/>
          <w:color w:val="auto"/>
        </w:rPr>
      </w:pPr>
      <w:r>
        <w:rPr>
          <w:rFonts w:hint="eastAsia" w:hAnsi="宋体"/>
          <w:b/>
          <w:color w:val="auto"/>
        </w:rPr>
        <w:t>七、供应商认为需提供的其它资料</w:t>
      </w:r>
    </w:p>
    <w:p>
      <w:pPr>
        <w:pStyle w:val="11"/>
        <w:adjustRightInd w:val="0"/>
        <w:snapToGrid w:val="0"/>
        <w:spacing w:line="360" w:lineRule="auto"/>
        <w:rPr>
          <w:rFonts w:hint="eastAsia" w:ascii="黑体" w:eastAsia="黑体"/>
          <w:b/>
          <w:color w:val="auto"/>
          <w:sz w:val="32"/>
          <w:szCs w:val="32"/>
        </w:rPr>
      </w:pPr>
      <w:r>
        <w:rPr>
          <w:rFonts w:hint="eastAsia" w:hAnsi="宋体"/>
          <w:b/>
          <w:color w:val="auto"/>
        </w:rPr>
        <w:t>八、最后报价</w:t>
      </w:r>
    </w:p>
    <w:p>
      <w:pPr>
        <w:spacing w:line="360" w:lineRule="exact"/>
        <w:rPr>
          <w:rFonts w:hint="eastAsia" w:ascii="黑体" w:eastAsia="黑体"/>
          <w:b/>
          <w:color w:val="auto"/>
          <w:sz w:val="32"/>
          <w:szCs w:val="32"/>
        </w:rPr>
      </w:pPr>
    </w:p>
    <w:p>
      <w:pPr>
        <w:pStyle w:val="5"/>
        <w:rPr>
          <w:rFonts w:hint="eastAsia" w:ascii="黑体" w:eastAsia="黑体"/>
          <w:b w:val="0"/>
          <w:color w:val="auto"/>
          <w:sz w:val="32"/>
          <w:szCs w:val="32"/>
        </w:rPr>
      </w:pPr>
    </w:p>
    <w:p>
      <w:pPr>
        <w:rPr>
          <w:rFonts w:hint="eastAsia" w:ascii="黑体" w:eastAsia="黑体"/>
          <w:b/>
          <w:color w:val="auto"/>
          <w:sz w:val="32"/>
          <w:szCs w:val="32"/>
        </w:rPr>
      </w:pPr>
    </w:p>
    <w:p>
      <w:pPr>
        <w:pStyle w:val="5"/>
        <w:rPr>
          <w:rFonts w:hint="eastAsia" w:ascii="黑体" w:eastAsia="黑体"/>
          <w:b w:val="0"/>
          <w:color w:val="auto"/>
          <w:sz w:val="32"/>
          <w:szCs w:val="32"/>
        </w:rPr>
      </w:pPr>
    </w:p>
    <w:p>
      <w:pPr>
        <w:rPr>
          <w:rFonts w:hint="eastAsia" w:ascii="黑体" w:eastAsia="黑体"/>
          <w:b/>
          <w:color w:val="auto"/>
          <w:sz w:val="32"/>
          <w:szCs w:val="32"/>
        </w:rPr>
      </w:pPr>
    </w:p>
    <w:p>
      <w:pPr>
        <w:pStyle w:val="5"/>
        <w:rPr>
          <w:rFonts w:hint="eastAsia" w:ascii="黑体" w:eastAsia="黑体"/>
          <w:b w:val="0"/>
          <w:color w:val="auto"/>
          <w:sz w:val="32"/>
          <w:szCs w:val="32"/>
        </w:rPr>
      </w:pPr>
    </w:p>
    <w:p>
      <w:pPr>
        <w:rPr>
          <w:rFonts w:hint="eastAsia"/>
          <w:color w:val="auto"/>
        </w:rPr>
      </w:pPr>
    </w:p>
    <w:p>
      <w:pPr>
        <w:rPr>
          <w:rFonts w:hint="eastAsia"/>
          <w:color w:val="auto"/>
        </w:rPr>
      </w:pPr>
    </w:p>
    <w:p>
      <w:pPr>
        <w:pStyle w:val="24"/>
        <w:rPr>
          <w:rFonts w:hint="eastAsia"/>
          <w:color w:val="auto"/>
        </w:rPr>
      </w:pPr>
    </w:p>
    <w:p>
      <w:pPr>
        <w:pStyle w:val="24"/>
        <w:rPr>
          <w:rFonts w:hint="eastAsia"/>
          <w:color w:val="auto"/>
        </w:rPr>
      </w:pPr>
    </w:p>
    <w:p>
      <w:pPr>
        <w:spacing w:line="360" w:lineRule="exact"/>
        <w:ind w:firstLine="2891" w:firstLineChars="900"/>
        <w:rPr>
          <w:rFonts w:hint="eastAsia" w:ascii="黑体" w:eastAsia="黑体"/>
          <w:b/>
          <w:color w:val="auto"/>
          <w:sz w:val="32"/>
          <w:szCs w:val="32"/>
        </w:rPr>
      </w:pPr>
      <w:r>
        <w:rPr>
          <w:rFonts w:hint="eastAsia" w:ascii="黑体" w:eastAsia="黑体"/>
          <w:b/>
          <w:color w:val="auto"/>
          <w:sz w:val="32"/>
          <w:szCs w:val="32"/>
        </w:rPr>
        <w:t>一、</w:t>
      </w:r>
      <w:r>
        <w:rPr>
          <w:rFonts w:hint="eastAsia" w:ascii="黑体" w:hAnsi="宋体" w:eastAsia="黑体"/>
          <w:b/>
          <w:color w:val="auto"/>
          <w:sz w:val="32"/>
          <w:szCs w:val="32"/>
        </w:rPr>
        <w:t>磋商响应声明</w:t>
      </w:r>
    </w:p>
    <w:p>
      <w:pPr>
        <w:adjustRightInd w:val="0"/>
        <w:snapToGrid w:val="0"/>
        <w:spacing w:line="360" w:lineRule="auto"/>
        <w:rPr>
          <w:rFonts w:hint="eastAsia"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olor w:val="auto"/>
          <w:szCs w:val="21"/>
        </w:rPr>
        <w:t xml:space="preserve"> (采购人或采购代理机构)：</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我方已仔细研究了</w:t>
      </w:r>
      <w:r>
        <w:rPr>
          <w:rFonts w:hint="eastAsia" w:ascii="宋体" w:hAnsi="宋体"/>
          <w:color w:val="auto"/>
          <w:szCs w:val="21"/>
          <w:u w:val="single"/>
        </w:rPr>
        <w:t xml:space="preserve">        (</w:t>
      </w:r>
      <w:r>
        <w:rPr>
          <w:rFonts w:hint="eastAsia" w:ascii="宋体" w:hAnsi="宋体"/>
          <w:color w:val="auto"/>
          <w:szCs w:val="21"/>
        </w:rPr>
        <w:t>项目名称)的</w:t>
      </w:r>
      <w:r>
        <w:rPr>
          <w:rFonts w:hint="eastAsia" w:ascii="宋体" w:hAnsi="宋体"/>
          <w:color w:val="auto"/>
          <w:szCs w:val="21"/>
          <w:lang w:eastAsia="zh-CN"/>
        </w:rPr>
        <w:t>竞争磋商</w:t>
      </w:r>
      <w:r>
        <w:rPr>
          <w:rFonts w:hint="eastAsia" w:ascii="宋体" w:hAnsi="宋体"/>
          <w:color w:val="auto"/>
          <w:szCs w:val="21"/>
        </w:rPr>
        <w:t>文件（采购编号：</w:t>
      </w:r>
      <w:r>
        <w:rPr>
          <w:rFonts w:hint="eastAsia" w:ascii="宋体" w:hAnsi="宋体"/>
          <w:color w:val="auto"/>
          <w:szCs w:val="21"/>
          <w:u w:val="single"/>
        </w:rPr>
        <w:t xml:space="preserve">            </w:t>
      </w:r>
      <w:r>
        <w:rPr>
          <w:rFonts w:hint="eastAsia" w:ascii="宋体" w:hAnsi="宋体"/>
          <w:color w:val="auto"/>
          <w:szCs w:val="21"/>
        </w:rPr>
        <w:t xml:space="preserve"> ；采购代理编号：</w:t>
      </w:r>
      <w:r>
        <w:rPr>
          <w:rFonts w:hint="eastAsia" w:ascii="宋体" w:hAnsi="宋体"/>
          <w:color w:val="auto"/>
          <w:szCs w:val="21"/>
          <w:u w:val="single"/>
        </w:rPr>
        <w:t xml:space="preserve">           </w:t>
      </w:r>
      <w:r>
        <w:rPr>
          <w:rFonts w:hint="eastAsia" w:ascii="宋体" w:hAnsi="宋体"/>
          <w:color w:val="auto"/>
          <w:szCs w:val="21"/>
        </w:rPr>
        <w:t>）的全部内容，</w:t>
      </w:r>
      <w:r>
        <w:rPr>
          <w:rFonts w:hint="eastAsia" w:hAnsi="宋体"/>
          <w:color w:val="auto"/>
        </w:rPr>
        <w:t>知悉参加</w:t>
      </w:r>
      <w:r>
        <w:rPr>
          <w:rFonts w:hint="eastAsia" w:hAnsi="宋体"/>
          <w:color w:val="auto"/>
          <w:lang w:eastAsia="zh-CN"/>
        </w:rPr>
        <w:t>竞争磋商</w:t>
      </w:r>
      <w:r>
        <w:rPr>
          <w:rFonts w:hint="eastAsia" w:hAnsi="宋体"/>
          <w:color w:val="auto"/>
        </w:rPr>
        <w:t>的风险，我方承诺接受磋商文件的全部条款且无任何异议。</w:t>
      </w:r>
    </w:p>
    <w:p>
      <w:pPr>
        <w:pStyle w:val="11"/>
        <w:adjustRightInd w:val="0"/>
        <w:snapToGrid w:val="0"/>
        <w:spacing w:line="360" w:lineRule="auto"/>
        <w:ind w:firstLine="420" w:firstLineChars="200"/>
        <w:rPr>
          <w:rFonts w:hint="eastAsia" w:hAnsi="宋体"/>
          <w:color w:val="auto"/>
        </w:rPr>
      </w:pPr>
      <w:r>
        <w:rPr>
          <w:rFonts w:hint="eastAsia" w:hAnsi="宋体"/>
          <w:color w:val="auto"/>
        </w:rPr>
        <w:t>一、我方同意在磋商文件中规定的提交首次响应文件截止时间起</w:t>
      </w:r>
      <w:r>
        <w:rPr>
          <w:rFonts w:hint="eastAsia" w:hAnsi="宋体"/>
          <w:color w:val="auto"/>
          <w:u w:val="single"/>
        </w:rPr>
        <w:t xml:space="preserve"> </w:t>
      </w:r>
      <w:r>
        <w:rPr>
          <w:rFonts w:hint="eastAsia" w:hAnsi="宋体"/>
          <w:color w:val="auto"/>
          <w:u w:val="single"/>
          <w:lang w:val="en-US" w:eastAsia="zh-CN"/>
        </w:rPr>
        <w:t>90</w:t>
      </w:r>
      <w:r>
        <w:rPr>
          <w:rFonts w:hint="eastAsia" w:hAnsi="宋体"/>
          <w:color w:val="auto"/>
        </w:rPr>
        <w:t>日内(响应文件有效期)遵守本响应文件中的承诺且在此期限期满之前均具有法律约束力。</w:t>
      </w:r>
    </w:p>
    <w:p>
      <w:pPr>
        <w:pStyle w:val="11"/>
        <w:adjustRightInd w:val="0"/>
        <w:snapToGrid w:val="0"/>
        <w:spacing w:line="360" w:lineRule="auto"/>
        <w:ind w:firstLine="420" w:firstLineChars="200"/>
        <w:rPr>
          <w:rFonts w:hint="eastAsia" w:hAnsi="宋体"/>
          <w:color w:val="auto"/>
        </w:rPr>
      </w:pPr>
      <w:r>
        <w:rPr>
          <w:rFonts w:hint="eastAsia" w:hAnsi="宋体"/>
          <w:color w:val="auto"/>
        </w:rPr>
        <w:t>二、我方提交响应文件正本一份和副本一式</w:t>
      </w:r>
      <w:r>
        <w:rPr>
          <w:rFonts w:hint="eastAsia" w:hAnsi="宋体"/>
          <w:color w:val="auto"/>
          <w:u w:val="single"/>
        </w:rPr>
        <w:t xml:space="preserve">     </w:t>
      </w:r>
      <w:r>
        <w:rPr>
          <w:rFonts w:hint="eastAsia" w:hAnsi="宋体"/>
          <w:color w:val="auto"/>
        </w:rPr>
        <w:t>份及电子文件一份，并保证响应文件提供的数据和资料全部内容真实、合法、准确和完整，我们对此负责，并愿承担由此引起的法律责任。</w:t>
      </w:r>
    </w:p>
    <w:p>
      <w:pPr>
        <w:pStyle w:val="11"/>
        <w:adjustRightInd w:val="0"/>
        <w:snapToGrid w:val="0"/>
        <w:spacing w:line="360" w:lineRule="auto"/>
        <w:ind w:firstLine="420" w:firstLineChars="200"/>
        <w:rPr>
          <w:rFonts w:hint="eastAsia" w:hAnsi="宋体"/>
          <w:color w:val="auto"/>
        </w:rPr>
      </w:pPr>
      <w:r>
        <w:rPr>
          <w:rFonts w:hint="eastAsia" w:hAnsi="宋体"/>
          <w:color w:val="auto"/>
        </w:rPr>
        <w:t>三、我方愿意向贵方提供任何与本项采购有关的数据、情况和技术资料。若贵方需要，我方愿意提供我方作出的一切承诺的证明资料。</w:t>
      </w:r>
    </w:p>
    <w:p>
      <w:pPr>
        <w:pStyle w:val="11"/>
        <w:adjustRightInd w:val="0"/>
        <w:snapToGrid w:val="0"/>
        <w:spacing w:line="360" w:lineRule="auto"/>
        <w:ind w:firstLine="420" w:firstLineChars="200"/>
        <w:rPr>
          <w:rFonts w:hint="eastAsia" w:hAnsi="宋体"/>
          <w:color w:val="auto"/>
        </w:rPr>
      </w:pPr>
      <w:r>
        <w:rPr>
          <w:rFonts w:hint="eastAsia" w:hAnsi="宋体"/>
          <w:color w:val="auto"/>
        </w:rPr>
        <w:t>四、我方愿意按磋商文件规定和磋商小组要求重新提交响应文件和最后报价。</w:t>
      </w:r>
    </w:p>
    <w:p>
      <w:pPr>
        <w:pStyle w:val="11"/>
        <w:adjustRightInd w:val="0"/>
        <w:snapToGrid w:val="0"/>
        <w:spacing w:line="360" w:lineRule="auto"/>
        <w:ind w:firstLine="420" w:firstLineChars="200"/>
        <w:rPr>
          <w:rFonts w:hint="eastAsia" w:hAnsi="宋体"/>
          <w:color w:val="auto"/>
        </w:rPr>
      </w:pPr>
      <w:r>
        <w:rPr>
          <w:rFonts w:hint="eastAsia" w:hAnsi="宋体"/>
          <w:color w:val="auto"/>
        </w:rPr>
        <w:t>五、我方承诺遵守</w:t>
      </w:r>
      <w:r>
        <w:rPr>
          <w:rFonts w:hint="eastAsia" w:hAnsi="宋体"/>
          <w:color w:val="auto"/>
          <w:lang w:val="en-US" w:eastAsia="zh-CN"/>
        </w:rPr>
        <w:t>相关法律</w:t>
      </w:r>
      <w:r>
        <w:rPr>
          <w:rFonts w:hint="eastAsia" w:hAnsi="宋体"/>
          <w:color w:val="auto"/>
        </w:rPr>
        <w:t>规定，保证在获得成交资格后，按照磋商文件确定的事项签订采购合同，履行双方所签订的合同，并承担合同规定的责任和义务。</w:t>
      </w:r>
    </w:p>
    <w:p>
      <w:pPr>
        <w:pStyle w:val="11"/>
        <w:adjustRightInd w:val="0"/>
        <w:snapToGrid w:val="0"/>
        <w:spacing w:line="360" w:lineRule="auto"/>
        <w:ind w:firstLine="420" w:firstLineChars="200"/>
        <w:rPr>
          <w:rFonts w:hint="eastAsia" w:hAnsi="宋体"/>
          <w:color w:val="auto"/>
        </w:rPr>
      </w:pPr>
      <w:r>
        <w:rPr>
          <w:rFonts w:hint="eastAsia" w:hAnsi="宋体"/>
          <w:color w:val="auto"/>
        </w:rPr>
        <w:t>六、</w:t>
      </w:r>
      <w:r>
        <w:rPr>
          <w:rFonts w:hint="eastAsia" w:hAnsi="宋体"/>
          <w:color w:val="auto"/>
        </w:rPr>
        <w:t xml:space="preserve">我方在此声明： </w:t>
      </w:r>
    </w:p>
    <w:p>
      <w:pPr>
        <w:pStyle w:val="11"/>
        <w:adjustRightInd w:val="0"/>
        <w:snapToGrid w:val="0"/>
        <w:spacing w:line="360" w:lineRule="auto"/>
        <w:ind w:firstLine="420" w:firstLineChars="200"/>
        <w:rPr>
          <w:rFonts w:hint="eastAsia" w:hAnsi="宋体"/>
          <w:color w:val="auto"/>
        </w:rPr>
      </w:pPr>
      <w:r>
        <w:rPr>
          <w:rFonts w:hint="eastAsia" w:hAnsi="宋体"/>
          <w:color w:val="auto"/>
        </w:rPr>
        <w:t>（一）我方与采购人或采购代理机构不存在隶属关系或者其他利害关系。</w:t>
      </w:r>
    </w:p>
    <w:p>
      <w:pPr>
        <w:pStyle w:val="11"/>
        <w:adjustRightInd w:val="0"/>
        <w:snapToGrid w:val="0"/>
        <w:spacing w:line="360" w:lineRule="auto"/>
        <w:ind w:firstLine="420" w:firstLineChars="200"/>
        <w:rPr>
          <w:rFonts w:hint="eastAsia" w:hAnsi="宋体"/>
          <w:color w:val="auto"/>
        </w:rPr>
      </w:pPr>
      <w:r>
        <w:rPr>
          <w:rFonts w:hint="eastAsia" w:hAnsi="宋体"/>
          <w:color w:val="auto"/>
        </w:rPr>
        <w:t>（二）我方与参加本项目的其他供应商不存在直接控股、管理关系，或者与其他供应商法定代表人（或者负责人）为同一人。</w:t>
      </w:r>
    </w:p>
    <w:p>
      <w:pPr>
        <w:pStyle w:val="11"/>
        <w:adjustRightInd w:val="0"/>
        <w:snapToGrid w:val="0"/>
        <w:spacing w:line="360" w:lineRule="auto"/>
        <w:ind w:firstLine="420" w:firstLineChars="200"/>
        <w:rPr>
          <w:rFonts w:hint="eastAsia" w:hAnsi="宋体"/>
          <w:color w:val="auto"/>
        </w:rPr>
      </w:pPr>
      <w:r>
        <w:rPr>
          <w:rFonts w:hint="eastAsia" w:hAnsi="宋体"/>
          <w:color w:val="auto"/>
        </w:rPr>
        <w:t>（三）我方未为本项目前期准备提供设计或咨询服务。</w:t>
      </w:r>
    </w:p>
    <w:p>
      <w:pPr>
        <w:pStyle w:val="11"/>
        <w:adjustRightInd w:val="0"/>
        <w:snapToGrid w:val="0"/>
        <w:spacing w:line="360" w:lineRule="auto"/>
        <w:ind w:firstLine="420" w:firstLineChars="200"/>
        <w:rPr>
          <w:rFonts w:hint="eastAsia" w:hAnsi="宋体"/>
          <w:color w:val="auto"/>
        </w:rPr>
      </w:pPr>
      <w:r>
        <w:rPr>
          <w:rFonts w:hint="eastAsia" w:hAnsi="宋体"/>
          <w:color w:val="auto"/>
        </w:rPr>
        <w:t>（四）我方承诺（承诺期：成立三年以上的，为提交首次响应文件截止时间前三年内；成立不足三年的，为实际时间）：</w:t>
      </w:r>
    </w:p>
    <w:p>
      <w:pPr>
        <w:pStyle w:val="11"/>
        <w:adjustRightInd w:val="0"/>
        <w:snapToGrid w:val="0"/>
        <w:spacing w:line="360" w:lineRule="auto"/>
        <w:ind w:firstLine="420" w:firstLineChars="200"/>
        <w:rPr>
          <w:rFonts w:hint="eastAsia" w:hAnsi="宋体"/>
          <w:color w:val="auto"/>
        </w:rPr>
      </w:pPr>
      <w:r>
        <w:rPr>
          <w:rFonts w:hint="eastAsia" w:hAnsi="宋体"/>
          <w:color w:val="auto"/>
        </w:rPr>
        <w:t>1、我方依法缴纳了各项税费及各项社会保障资金，没有偷税、漏税及欠缴行为。</w:t>
      </w:r>
    </w:p>
    <w:p>
      <w:pPr>
        <w:pStyle w:val="11"/>
        <w:adjustRightInd w:val="0"/>
        <w:snapToGrid w:val="0"/>
        <w:spacing w:line="360" w:lineRule="auto"/>
        <w:ind w:firstLine="420" w:firstLineChars="200"/>
        <w:rPr>
          <w:rFonts w:hint="eastAsia" w:hAnsi="宋体"/>
          <w:color w:val="auto"/>
        </w:rPr>
      </w:pPr>
      <w:r>
        <w:rPr>
          <w:rFonts w:hint="eastAsia" w:hAnsi="宋体"/>
          <w:color w:val="auto"/>
        </w:rPr>
        <w:t>2、我方在经营活动中没有存在下列重大违法记录：</w:t>
      </w:r>
    </w:p>
    <w:p>
      <w:pPr>
        <w:pStyle w:val="11"/>
        <w:adjustRightInd w:val="0"/>
        <w:snapToGrid w:val="0"/>
        <w:spacing w:line="360" w:lineRule="auto"/>
        <w:ind w:firstLine="420" w:firstLineChars="200"/>
        <w:rPr>
          <w:rFonts w:hint="eastAsia" w:hAnsi="宋体"/>
          <w:color w:val="auto"/>
        </w:rPr>
      </w:pPr>
      <w:r>
        <w:rPr>
          <w:rFonts w:hint="eastAsia" w:hAnsi="宋体"/>
          <w:color w:val="auto"/>
        </w:rPr>
        <w:t>(1)受到刑事处罚；</w:t>
      </w:r>
    </w:p>
    <w:p>
      <w:pPr>
        <w:pStyle w:val="11"/>
        <w:adjustRightInd w:val="0"/>
        <w:snapToGrid w:val="0"/>
        <w:spacing w:line="360" w:lineRule="auto"/>
        <w:ind w:firstLine="420" w:firstLineChars="200"/>
        <w:rPr>
          <w:rFonts w:hint="eastAsia" w:hAnsi="宋体"/>
          <w:color w:val="auto"/>
        </w:rPr>
      </w:pPr>
      <w:r>
        <w:rPr>
          <w:rFonts w:hint="eastAsia" w:hAnsi="宋体"/>
          <w:color w:val="auto"/>
        </w:rPr>
        <w:t>(2)受到三万元以上的罚款、责令停产停业、在一至三年内禁止参加采购活动、暂扣或者吊销许可证、暂扣或者吊销执照的行政处罚。</w:t>
      </w:r>
    </w:p>
    <w:p>
      <w:pPr>
        <w:adjustRightInd w:val="0"/>
        <w:snapToGrid w:val="0"/>
        <w:spacing w:line="360" w:lineRule="auto"/>
        <w:ind w:right="24"/>
        <w:rPr>
          <w:rFonts w:hint="eastAsia" w:ascii="宋体" w:hAnsi="宋体"/>
          <w:color w:val="auto"/>
          <w:szCs w:val="21"/>
        </w:rPr>
      </w:pPr>
      <w:r>
        <w:rPr>
          <w:rFonts w:hint="eastAsia" w:ascii="宋体" w:hAnsi="宋体"/>
          <w:bCs/>
          <w:color w:val="auto"/>
          <w:szCs w:val="21"/>
        </w:rPr>
        <w:t>附件1：</w:t>
      </w:r>
      <w:r>
        <w:rPr>
          <w:rFonts w:hint="eastAsia" w:ascii="宋体" w:hAnsi="宋体"/>
          <w:color w:val="auto"/>
          <w:szCs w:val="21"/>
        </w:rPr>
        <w:t>法定代表人身份证明</w:t>
      </w:r>
    </w:p>
    <w:p>
      <w:pPr>
        <w:adjustRightInd w:val="0"/>
        <w:snapToGrid w:val="0"/>
        <w:spacing w:line="360" w:lineRule="auto"/>
        <w:ind w:right="24"/>
        <w:rPr>
          <w:rFonts w:hint="eastAsia" w:ascii="宋体" w:hAnsi="宋体"/>
          <w:color w:val="auto"/>
          <w:szCs w:val="21"/>
        </w:rPr>
      </w:pPr>
      <w:r>
        <w:rPr>
          <w:rFonts w:hint="eastAsia" w:ascii="宋体" w:hAnsi="宋体"/>
          <w:bCs/>
          <w:color w:val="auto"/>
          <w:szCs w:val="21"/>
        </w:rPr>
        <w:t>附件2</w:t>
      </w:r>
      <w:r>
        <w:rPr>
          <w:rFonts w:hint="eastAsia" w:ascii="宋体" w:hAnsi="宋体"/>
          <w:color w:val="auto"/>
          <w:szCs w:val="21"/>
        </w:rPr>
        <w:t>：法定代表人授权书</w:t>
      </w:r>
    </w:p>
    <w:p>
      <w:pPr>
        <w:pStyle w:val="11"/>
        <w:adjustRightInd w:val="0"/>
        <w:snapToGrid w:val="0"/>
        <w:spacing w:line="360" w:lineRule="auto"/>
        <w:rPr>
          <w:rFonts w:hint="eastAsia" w:hAnsi="宋体"/>
          <w:color w:val="auto"/>
        </w:rPr>
      </w:pPr>
      <w:r>
        <w:rPr>
          <w:rFonts w:hint="eastAsia" w:hAnsi="宋体"/>
          <w:color w:val="auto"/>
        </w:rPr>
        <w:t>供应商名称(盖单位章)：</w:t>
      </w:r>
    </w:p>
    <w:p>
      <w:pPr>
        <w:adjustRightInd w:val="0"/>
        <w:snapToGrid w:val="0"/>
        <w:spacing w:line="360" w:lineRule="auto"/>
        <w:rPr>
          <w:rFonts w:hint="eastAsia" w:ascii="宋体" w:hAnsi="宋体"/>
          <w:color w:val="auto"/>
          <w:szCs w:val="21"/>
        </w:rPr>
      </w:pPr>
      <w:r>
        <w:rPr>
          <w:rFonts w:hint="eastAsia" w:ascii="宋体" w:hAnsi="宋体"/>
          <w:color w:val="auto"/>
          <w:szCs w:val="21"/>
        </w:rPr>
        <w:t>法定代表人或其委托代理人 (签字)：</w:t>
      </w:r>
      <w:r>
        <w:rPr>
          <w:rFonts w:hint="eastAsia" w:ascii="宋体" w:hAnsi="宋体"/>
          <w:color w:val="auto"/>
          <w:szCs w:val="21"/>
          <w:u w:val="single"/>
        </w:rPr>
        <w:t xml:space="preserve">            </w:t>
      </w:r>
    </w:p>
    <w:p>
      <w:pPr>
        <w:adjustRightInd w:val="0"/>
        <w:snapToGrid w:val="0"/>
        <w:spacing w:line="360" w:lineRule="auto"/>
        <w:rPr>
          <w:rFonts w:hint="eastAsia" w:ascii="宋体" w:hAnsi="宋体"/>
          <w:color w:val="auto"/>
          <w:szCs w:val="21"/>
        </w:rPr>
      </w:pPr>
      <w:r>
        <w:rPr>
          <w:rFonts w:hint="eastAsia" w:ascii="宋体" w:hAnsi="宋体"/>
          <w:color w:val="auto"/>
          <w:szCs w:val="21"/>
        </w:rPr>
        <w:t>日     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5"/>
        <w:rPr>
          <w:rFonts w:hint="eastAsia" w:ascii="宋体" w:hAnsi="宋体"/>
          <w:color w:val="auto"/>
          <w:szCs w:val="21"/>
        </w:rPr>
      </w:pPr>
    </w:p>
    <w:p>
      <w:pPr>
        <w:rPr>
          <w:rFonts w:hint="eastAsia"/>
          <w:color w:val="auto"/>
        </w:rPr>
      </w:pPr>
    </w:p>
    <w:p>
      <w:pPr>
        <w:pStyle w:val="18"/>
        <w:rPr>
          <w:rFonts w:hint="eastAsia"/>
          <w:color w:val="auto"/>
        </w:rPr>
      </w:pPr>
    </w:p>
    <w:p>
      <w:pPr>
        <w:adjustRightInd w:val="0"/>
        <w:snapToGrid w:val="0"/>
        <w:spacing w:line="360" w:lineRule="auto"/>
        <w:ind w:right="24"/>
        <w:rPr>
          <w:rFonts w:hint="eastAsia" w:ascii="黑体" w:hAnsi="黑体" w:eastAsia="黑体"/>
          <w:bCs/>
          <w:color w:val="auto"/>
          <w:sz w:val="30"/>
          <w:szCs w:val="30"/>
        </w:rPr>
      </w:pPr>
      <w:r>
        <w:rPr>
          <w:rFonts w:hint="eastAsia" w:ascii="黑体" w:hAnsi="黑体" w:eastAsia="黑体"/>
          <w:bCs/>
          <w:color w:val="auto"/>
          <w:sz w:val="30"/>
          <w:szCs w:val="30"/>
        </w:rPr>
        <w:t>附件1</w:t>
      </w:r>
    </w:p>
    <w:p>
      <w:pPr>
        <w:jc w:val="center"/>
        <w:rPr>
          <w:rFonts w:hint="eastAsia" w:ascii="黑体" w:hAnsi="黑体" w:eastAsia="黑体"/>
          <w:b/>
          <w:color w:val="auto"/>
          <w:sz w:val="30"/>
          <w:szCs w:val="30"/>
        </w:rPr>
      </w:pPr>
      <w:r>
        <w:rPr>
          <w:rFonts w:hint="eastAsia" w:ascii="黑体" w:hAnsi="黑体" w:eastAsia="黑体"/>
          <w:b/>
          <w:color w:val="auto"/>
          <w:sz w:val="30"/>
          <w:szCs w:val="30"/>
        </w:rPr>
        <w:t>法定代表人身份证明</w:t>
      </w:r>
    </w:p>
    <w:p>
      <w:pPr>
        <w:snapToGrid w:val="0"/>
        <w:spacing w:line="480" w:lineRule="auto"/>
        <w:rPr>
          <w:rFonts w:hint="eastAsia" w:ascii="宋体" w:hAnsi="宋体"/>
          <w:color w:val="auto"/>
          <w:szCs w:val="21"/>
        </w:rPr>
      </w:pPr>
    </w:p>
    <w:p>
      <w:pPr>
        <w:autoSpaceDE w:val="0"/>
        <w:autoSpaceDN w:val="0"/>
        <w:adjustRightInd w:val="0"/>
        <w:snapToGrid w:val="0"/>
        <w:spacing w:line="360" w:lineRule="auto"/>
        <w:jc w:val="left"/>
        <w:rPr>
          <w:rFonts w:hint="eastAsia" w:ascii="宋体" w:hAnsi="宋体" w:cs="宋体"/>
          <w:color w:val="auto"/>
          <w:kern w:val="0"/>
          <w:szCs w:val="21"/>
        </w:rPr>
      </w:pPr>
      <w:r>
        <w:rPr>
          <w:rFonts w:hint="eastAsia" w:ascii="宋体" w:hAnsi="宋体"/>
          <w:color w:val="auto"/>
          <w:szCs w:val="21"/>
        </w:rPr>
        <w:t>供应商</w:t>
      </w:r>
      <w:r>
        <w:rPr>
          <w:rFonts w:hint="eastAsia" w:ascii="宋体" w:hAnsi="宋体" w:cs="宋体"/>
          <w:color w:val="auto"/>
          <w:kern w:val="0"/>
          <w:szCs w:val="21"/>
        </w:rPr>
        <w:t>名称：</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p>
      <w:pPr>
        <w:autoSpaceDE w:val="0"/>
        <w:autoSpaceDN w:val="0"/>
        <w:adjustRightInd w:val="0"/>
        <w:snapToGri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注册号：</w:t>
      </w:r>
      <w:r>
        <w:rPr>
          <w:rFonts w:hint="eastAsia" w:ascii="宋体" w:hAnsi="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注册地址：</w:t>
      </w:r>
      <w:r>
        <w:rPr>
          <w:rFonts w:hint="eastAsia" w:ascii="宋体" w:hAnsi="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 xml:space="preserve">成立时间：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年 </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日</w:t>
      </w:r>
    </w:p>
    <w:p>
      <w:pPr>
        <w:autoSpaceDE w:val="0"/>
        <w:autoSpaceDN w:val="0"/>
        <w:adjustRightInd w:val="0"/>
        <w:snapToGrid w:val="0"/>
        <w:spacing w:line="360" w:lineRule="auto"/>
        <w:jc w:val="left"/>
        <w:rPr>
          <w:rFonts w:hint="eastAsia" w:ascii="宋体" w:hAnsi="宋体" w:cs="宋体"/>
          <w:color w:val="auto"/>
          <w:kern w:val="0"/>
          <w:szCs w:val="21"/>
          <w:u w:val="single"/>
        </w:rPr>
      </w:pPr>
      <w:r>
        <w:rPr>
          <w:rFonts w:hint="eastAsia" w:ascii="宋体" w:hAnsi="宋体" w:cs="宋体"/>
          <w:color w:val="auto"/>
          <w:kern w:val="0"/>
          <w:szCs w:val="21"/>
        </w:rPr>
        <w:t>经营期限：</w:t>
      </w:r>
      <w:r>
        <w:rPr>
          <w:rFonts w:hint="eastAsia" w:ascii="宋体" w:hAnsi="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cs="宋体"/>
          <w:color w:val="auto"/>
          <w:kern w:val="0"/>
          <w:szCs w:val="21"/>
          <w:u w:val="single"/>
        </w:rPr>
      </w:pPr>
      <w:r>
        <w:rPr>
          <w:rFonts w:hint="eastAsia" w:ascii="宋体" w:hAnsi="宋体" w:cs="宋体"/>
          <w:color w:val="auto"/>
          <w:kern w:val="0"/>
          <w:szCs w:val="21"/>
        </w:rPr>
        <w:t>经营范围：主营：</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；兼营：</w:t>
      </w:r>
      <w:r>
        <w:rPr>
          <w:rFonts w:hint="eastAsia" w:ascii="宋体" w:hAnsi="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姓名：</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性别：</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年龄：</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系</w:t>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olor w:val="auto"/>
          <w:szCs w:val="21"/>
        </w:rPr>
        <w:t>供应商</w:t>
      </w:r>
      <w:r>
        <w:rPr>
          <w:rFonts w:hint="eastAsia" w:ascii="宋体" w:hAnsi="宋体" w:cs="宋体"/>
          <w:color w:val="auto"/>
          <w:kern w:val="0"/>
          <w:szCs w:val="21"/>
        </w:rPr>
        <w:t>名称）的法定代表人。</w:t>
      </w:r>
    </w:p>
    <w:p>
      <w:pPr>
        <w:autoSpaceDE w:val="0"/>
        <w:autoSpaceDN w:val="0"/>
        <w:adjustRightInd w:val="0"/>
        <w:snapToGri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特此证明。</w:t>
      </w:r>
    </w:p>
    <w:p>
      <w:pPr>
        <w:autoSpaceDE w:val="0"/>
        <w:autoSpaceDN w:val="0"/>
        <w:adjustRightInd w:val="0"/>
        <w:snapToGrid w:val="0"/>
        <w:spacing w:line="360" w:lineRule="auto"/>
        <w:jc w:val="left"/>
        <w:rPr>
          <w:rFonts w:hint="eastAsia" w:ascii="宋体" w:hAnsi="宋体" w:cs="宋体"/>
          <w:color w:val="auto"/>
          <w:kern w:val="0"/>
          <w:szCs w:val="21"/>
        </w:rPr>
      </w:pPr>
      <w:r>
        <w:rPr>
          <w:rFonts w:hint="eastAsia" w:ascii="宋体" w:hAnsi="宋体"/>
          <w:color w:val="auto"/>
          <w:szCs w:val="21"/>
        </w:rPr>
        <w:t>附：法定代表人身份证复印件</w:t>
      </w:r>
    </w:p>
    <w:p>
      <w:pPr>
        <w:snapToGrid w:val="0"/>
        <w:spacing w:line="480" w:lineRule="auto"/>
        <w:rPr>
          <w:rFonts w:hint="eastAsia" w:ascii="宋体" w:hAnsi="宋体"/>
          <w:color w:val="auto"/>
          <w:szCs w:val="21"/>
        </w:rPr>
      </w:pPr>
    </w:p>
    <w:p>
      <w:pPr>
        <w:snapToGrid w:val="0"/>
        <w:rPr>
          <w:rFonts w:hint="eastAsia" w:ascii="宋体" w:hAnsi="宋体"/>
          <w:color w:val="auto"/>
          <w:szCs w:val="21"/>
        </w:rPr>
      </w:pPr>
    </w:p>
    <w:p>
      <w:pPr>
        <w:snapToGrid w:val="0"/>
        <w:rPr>
          <w:rFonts w:hint="eastAsia" w:ascii="宋体" w:hAnsi="宋体"/>
          <w:color w:val="auto"/>
          <w:szCs w:val="21"/>
        </w:rPr>
      </w:pPr>
    </w:p>
    <w:p>
      <w:pPr>
        <w:snapToGrid w:val="0"/>
        <w:rPr>
          <w:rFonts w:hint="eastAsia" w:ascii="宋体" w:hAnsi="宋体"/>
          <w:color w:val="auto"/>
          <w:szCs w:val="21"/>
        </w:rPr>
      </w:pPr>
    </w:p>
    <w:p>
      <w:pPr>
        <w:snapToGrid w:val="0"/>
        <w:rPr>
          <w:rFonts w:hint="eastAsia" w:ascii="宋体" w:hAnsi="宋体"/>
          <w:color w:val="auto"/>
          <w:szCs w:val="21"/>
        </w:rPr>
      </w:pPr>
    </w:p>
    <w:p>
      <w:pPr>
        <w:adjustRightInd w:val="0"/>
        <w:snapToGrid w:val="0"/>
        <w:spacing w:line="360" w:lineRule="auto"/>
        <w:rPr>
          <w:rFonts w:hint="eastAsia" w:ascii="宋体" w:hAnsi="宋体"/>
          <w:color w:val="auto"/>
          <w:szCs w:val="21"/>
        </w:rPr>
      </w:pPr>
    </w:p>
    <w:p>
      <w:pPr>
        <w:adjustRightInd w:val="0"/>
        <w:snapToGrid w:val="0"/>
        <w:spacing w:line="360" w:lineRule="auto"/>
        <w:ind w:right="420"/>
        <w:rPr>
          <w:rFonts w:hint="eastAsia" w:ascii="宋体" w:hAnsi="宋体"/>
          <w:color w:val="auto"/>
          <w:szCs w:val="21"/>
        </w:rPr>
      </w:pPr>
      <w:r>
        <w:rPr>
          <w:rFonts w:hint="eastAsia" w:ascii="宋体" w:hAnsi="宋体"/>
          <w:color w:val="auto"/>
          <w:szCs w:val="21"/>
        </w:rPr>
        <w:t>供应商名称（盖单位章）：</w:t>
      </w:r>
    </w:p>
    <w:p>
      <w:pPr>
        <w:adjustRightInd w:val="0"/>
        <w:snapToGrid w:val="0"/>
        <w:spacing w:line="360" w:lineRule="auto"/>
        <w:ind w:right="420"/>
        <w:rPr>
          <w:rFonts w:hint="eastAsia" w:ascii="仿宋_GB2312" w:hAnsi="宋体" w:eastAsia="仿宋_GB2312"/>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w:t>
      </w:r>
    </w:p>
    <w:p>
      <w:pPr>
        <w:adjustRightInd w:val="0"/>
        <w:snapToGrid w:val="0"/>
        <w:spacing w:beforeLines="50" w:line="360" w:lineRule="auto"/>
        <w:rPr>
          <w:rFonts w:hint="eastAsia" w:ascii="仿宋_GB2312" w:hAnsi="宋体" w:eastAsia="仿宋_GB2312"/>
          <w:color w:val="auto"/>
          <w:szCs w:val="21"/>
        </w:rPr>
      </w:pPr>
    </w:p>
    <w:p>
      <w:pPr>
        <w:adjustRightInd w:val="0"/>
        <w:snapToGrid w:val="0"/>
        <w:spacing w:beforeLines="50" w:line="360" w:lineRule="auto"/>
        <w:rPr>
          <w:rFonts w:hint="eastAsia" w:ascii="仿宋_GB2312" w:hAnsi="宋体" w:eastAsia="仿宋_GB2312"/>
          <w:color w:val="auto"/>
          <w:szCs w:val="21"/>
        </w:rPr>
      </w:pPr>
    </w:p>
    <w:p>
      <w:pPr>
        <w:adjustRightInd w:val="0"/>
        <w:snapToGrid w:val="0"/>
        <w:spacing w:beforeLines="50" w:line="360" w:lineRule="auto"/>
        <w:rPr>
          <w:rFonts w:hint="eastAsia" w:ascii="黑体" w:hAnsi="黑体" w:eastAsia="黑体"/>
          <w:bCs/>
          <w:color w:val="auto"/>
          <w:sz w:val="30"/>
          <w:szCs w:val="30"/>
        </w:rPr>
      </w:pPr>
    </w:p>
    <w:p>
      <w:pPr>
        <w:adjustRightInd w:val="0"/>
        <w:snapToGrid w:val="0"/>
        <w:spacing w:beforeLines="50" w:line="360" w:lineRule="auto"/>
        <w:rPr>
          <w:rFonts w:hint="eastAsia" w:ascii="黑体" w:hAnsi="黑体" w:eastAsia="黑体"/>
          <w:bCs/>
          <w:color w:val="auto"/>
          <w:sz w:val="30"/>
          <w:szCs w:val="30"/>
        </w:rPr>
      </w:pPr>
    </w:p>
    <w:p>
      <w:pPr>
        <w:rPr>
          <w:rFonts w:hint="eastAsia"/>
          <w:color w:val="auto"/>
        </w:rPr>
      </w:pPr>
    </w:p>
    <w:p>
      <w:pPr>
        <w:adjustRightInd w:val="0"/>
        <w:snapToGrid w:val="0"/>
        <w:spacing w:beforeLines="50" w:line="360" w:lineRule="auto"/>
        <w:rPr>
          <w:rFonts w:hint="eastAsia" w:ascii="黑体" w:hAnsi="黑体" w:eastAsia="黑体"/>
          <w:bCs/>
          <w:color w:val="auto"/>
          <w:sz w:val="30"/>
          <w:szCs w:val="30"/>
        </w:rPr>
      </w:pPr>
    </w:p>
    <w:p>
      <w:pPr>
        <w:adjustRightInd w:val="0"/>
        <w:snapToGrid w:val="0"/>
        <w:spacing w:beforeLines="50" w:line="360" w:lineRule="auto"/>
        <w:rPr>
          <w:rFonts w:hint="eastAsia" w:cs="宋体"/>
          <w:b/>
          <w:bCs/>
          <w:color w:val="auto"/>
          <w:sz w:val="24"/>
        </w:rPr>
      </w:pPr>
      <w:r>
        <w:rPr>
          <w:rFonts w:hint="eastAsia" w:cs="宋体"/>
          <w:b/>
          <w:bCs/>
          <w:color w:val="auto"/>
          <w:sz w:val="24"/>
        </w:rPr>
        <w:t>注：如法定代表人亲自出席开标会，则本法定代表人身份证明除投标文件中应提供以外，须另单独准备一份，供开标时对法定代表人身份验证时使用。</w:t>
      </w:r>
    </w:p>
    <w:p>
      <w:pPr>
        <w:adjustRightInd w:val="0"/>
        <w:snapToGrid w:val="0"/>
        <w:spacing w:beforeLines="50" w:line="360" w:lineRule="auto"/>
        <w:rPr>
          <w:rFonts w:hint="eastAsia" w:ascii="黑体" w:hAnsi="黑体" w:eastAsia="黑体"/>
          <w:bCs/>
          <w:color w:val="auto"/>
          <w:sz w:val="30"/>
          <w:szCs w:val="30"/>
        </w:rPr>
      </w:pPr>
    </w:p>
    <w:p>
      <w:pPr>
        <w:adjustRightInd w:val="0"/>
        <w:snapToGrid w:val="0"/>
        <w:spacing w:beforeLines="50" w:line="360" w:lineRule="auto"/>
        <w:rPr>
          <w:rFonts w:hint="eastAsia" w:ascii="黑体" w:hAnsi="黑体" w:eastAsia="黑体"/>
          <w:color w:val="auto"/>
          <w:sz w:val="30"/>
          <w:szCs w:val="30"/>
        </w:rPr>
      </w:pPr>
      <w:r>
        <w:rPr>
          <w:rFonts w:hint="eastAsia" w:ascii="黑体" w:hAnsi="黑体" w:eastAsia="黑体"/>
          <w:bCs/>
          <w:color w:val="auto"/>
          <w:sz w:val="30"/>
          <w:szCs w:val="30"/>
        </w:rPr>
        <w:t>附件2</w:t>
      </w:r>
    </w:p>
    <w:p>
      <w:pPr>
        <w:jc w:val="center"/>
        <w:rPr>
          <w:rFonts w:hint="eastAsia" w:ascii="黑体" w:hAnsi="黑体" w:eastAsia="黑体"/>
          <w:b/>
          <w:color w:val="auto"/>
          <w:sz w:val="30"/>
          <w:szCs w:val="30"/>
        </w:rPr>
      </w:pPr>
      <w:r>
        <w:rPr>
          <w:rFonts w:hint="eastAsia" w:ascii="黑体" w:hAnsi="黑体" w:eastAsia="黑体"/>
          <w:b/>
          <w:color w:val="auto"/>
          <w:sz w:val="30"/>
          <w:szCs w:val="30"/>
        </w:rPr>
        <w:t>法定代表人授权委托书</w:t>
      </w:r>
    </w:p>
    <w:p>
      <w:pPr>
        <w:adjustRightInd w:val="0"/>
        <w:snapToGrid w:val="0"/>
        <w:spacing w:line="360" w:lineRule="auto"/>
        <w:jc w:val="center"/>
        <w:rPr>
          <w:rFonts w:hint="eastAsia" w:ascii="黑体" w:hAnsi="华文中宋" w:eastAsia="黑体"/>
          <w:b/>
          <w:color w:val="auto"/>
          <w:sz w:val="28"/>
          <w:szCs w:val="28"/>
        </w:rPr>
      </w:pPr>
    </w:p>
    <w:p>
      <w:pPr>
        <w:autoSpaceDE w:val="0"/>
        <w:autoSpaceDN w:val="0"/>
        <w:adjustRightInd w:val="0"/>
        <w:snapToGrid w:val="0"/>
        <w:spacing w:beforeLines="50"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kern w:val="0"/>
          <w:szCs w:val="21"/>
          <w:u w:val="single"/>
        </w:rPr>
        <w:t xml:space="preserve">          </w:t>
      </w:r>
      <w:r>
        <w:rPr>
          <w:rFonts w:hint="eastAsia" w:ascii="宋体" w:hAnsi="宋体" w:cs="宋体"/>
          <w:color w:val="auto"/>
          <w:kern w:val="0"/>
          <w:szCs w:val="21"/>
        </w:rPr>
        <w:t>（姓名、职务）系</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r>
        <w:rPr>
          <w:rFonts w:hint="eastAsia" w:ascii="宋体" w:hAnsi="宋体"/>
          <w:color w:val="auto"/>
          <w:szCs w:val="21"/>
        </w:rPr>
        <w:t>供应商</w:t>
      </w:r>
      <w:r>
        <w:rPr>
          <w:rFonts w:hint="eastAsia" w:ascii="宋体" w:hAnsi="宋体" w:cs="宋体"/>
          <w:color w:val="auto"/>
          <w:kern w:val="0"/>
          <w:szCs w:val="21"/>
        </w:rPr>
        <w:t>名称）的法定代表人，现授权</w:t>
      </w:r>
      <w:r>
        <w:rPr>
          <w:rFonts w:hint="eastAsia" w:ascii="宋体" w:hAnsi="宋体" w:cs="宋体"/>
          <w:color w:val="auto"/>
          <w:kern w:val="0"/>
          <w:szCs w:val="21"/>
          <w:u w:val="single"/>
        </w:rPr>
        <w:t xml:space="preserve">          </w:t>
      </w:r>
      <w:r>
        <w:rPr>
          <w:rFonts w:hint="eastAsia" w:ascii="宋体" w:hAnsi="宋体" w:cs="宋体"/>
          <w:color w:val="auto"/>
          <w:kern w:val="0"/>
          <w:szCs w:val="21"/>
        </w:rPr>
        <w:t>（姓名、职务）为我方代理人。代理人根据授权，以我方名义：(1)签署、澄清、补正、修改、撤回、提交</w:t>
      </w:r>
      <w:r>
        <w:rPr>
          <w:rFonts w:hint="eastAsia" w:ascii="宋体" w:hAnsi="宋体" w:cs="宋体"/>
          <w:color w:val="auto"/>
          <w:kern w:val="0"/>
          <w:szCs w:val="21"/>
          <w:u w:val="single"/>
        </w:rPr>
        <w:t xml:space="preserve">                     </w:t>
      </w:r>
      <w:r>
        <w:rPr>
          <w:rFonts w:hint="eastAsia" w:ascii="宋体" w:hAnsi="宋体" w:cs="宋体"/>
          <w:color w:val="auto"/>
          <w:kern w:val="0"/>
          <w:szCs w:val="21"/>
        </w:rPr>
        <w:t>（项目名称、采购编号、采购代理机构编号）响应文件；(2)签署并重新提交响应文件及最后报价；(3)签订合同和处理有关事宜，其法律后果由我方承担。</w:t>
      </w:r>
    </w:p>
    <w:p>
      <w:pPr>
        <w:autoSpaceDE w:val="0"/>
        <w:autoSpaceDN w:val="0"/>
        <w:adjustRightInd w:val="0"/>
        <w:snapToGrid w:val="0"/>
        <w:spacing w:beforeLines="50"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委托期限：</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p>
      <w:pPr>
        <w:spacing w:line="360" w:lineRule="auto"/>
        <w:ind w:firstLine="435"/>
        <w:rPr>
          <w:rFonts w:hint="eastAsia" w:ascii="宋体" w:hAnsi="宋体" w:cs="宋体"/>
          <w:color w:val="auto"/>
          <w:kern w:val="0"/>
          <w:szCs w:val="21"/>
        </w:rPr>
      </w:pPr>
      <w:r>
        <w:rPr>
          <w:rFonts w:hint="eastAsia" w:ascii="宋体" w:hAnsi="宋体" w:cs="宋体"/>
          <w:color w:val="auto"/>
          <w:kern w:val="0"/>
          <w:szCs w:val="21"/>
        </w:rPr>
        <w:t>代理人无转委托权。</w:t>
      </w:r>
    </w:p>
    <w:p>
      <w:pPr>
        <w:spacing w:line="360" w:lineRule="auto"/>
        <w:ind w:firstLine="435"/>
        <w:rPr>
          <w:rFonts w:hint="eastAsia" w:ascii="宋体" w:hAnsi="宋体"/>
          <w:color w:val="auto"/>
          <w:szCs w:val="21"/>
        </w:rPr>
      </w:pPr>
      <w:r>
        <w:rPr>
          <w:rFonts w:hint="eastAsia" w:ascii="宋体" w:hAnsi="宋体"/>
          <w:color w:val="auto"/>
          <w:szCs w:val="21"/>
        </w:rPr>
        <w:t>本授权书于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日签字生效，特此声明。</w:t>
      </w:r>
    </w:p>
    <w:p>
      <w:pPr>
        <w:adjustRightInd w:val="0"/>
        <w:snapToGrid w:val="0"/>
        <w:spacing w:beforeLines="50" w:line="360" w:lineRule="auto"/>
        <w:ind w:firstLine="420" w:firstLineChars="200"/>
        <w:rPr>
          <w:rFonts w:hint="eastAsia" w:ascii="宋体" w:hAnsi="宋体"/>
          <w:color w:val="auto"/>
          <w:szCs w:val="21"/>
        </w:rPr>
      </w:pPr>
      <w:r>
        <w:rPr>
          <w:rFonts w:hint="eastAsia" w:ascii="宋体" w:hAnsi="宋体"/>
          <w:color w:val="auto"/>
          <w:szCs w:val="21"/>
        </w:rPr>
        <w:t>附：委托代理人身份证复印件及法定代表人身份证明(附件1，原件)</w:t>
      </w:r>
    </w:p>
    <w:p>
      <w:pPr>
        <w:adjustRightInd w:val="0"/>
        <w:snapToGrid w:val="0"/>
        <w:spacing w:line="360" w:lineRule="auto"/>
        <w:ind w:right="420"/>
        <w:rPr>
          <w:rFonts w:hint="eastAsia" w:ascii="宋体" w:hAnsi="宋体"/>
          <w:color w:val="auto"/>
          <w:szCs w:val="21"/>
        </w:rPr>
      </w:pPr>
    </w:p>
    <w:p>
      <w:pPr>
        <w:adjustRightInd w:val="0"/>
        <w:snapToGrid w:val="0"/>
        <w:spacing w:line="360" w:lineRule="auto"/>
        <w:ind w:right="420"/>
        <w:rPr>
          <w:rFonts w:hint="eastAsia" w:ascii="宋体" w:hAnsi="宋体"/>
          <w:color w:val="auto"/>
          <w:szCs w:val="21"/>
        </w:rPr>
      </w:pPr>
    </w:p>
    <w:p>
      <w:pPr>
        <w:adjustRightInd w:val="0"/>
        <w:snapToGrid w:val="0"/>
        <w:spacing w:line="360" w:lineRule="auto"/>
        <w:ind w:right="420"/>
        <w:rPr>
          <w:rFonts w:hint="eastAsia" w:ascii="宋体" w:hAnsi="宋体"/>
          <w:color w:val="auto"/>
          <w:szCs w:val="21"/>
        </w:rPr>
      </w:pPr>
    </w:p>
    <w:p>
      <w:pPr>
        <w:adjustRightInd w:val="0"/>
        <w:snapToGrid w:val="0"/>
        <w:spacing w:line="360" w:lineRule="auto"/>
        <w:ind w:right="420"/>
        <w:rPr>
          <w:rFonts w:hint="eastAsia" w:ascii="宋体" w:hAnsi="宋体"/>
          <w:color w:val="auto"/>
          <w:szCs w:val="21"/>
        </w:rPr>
      </w:pPr>
    </w:p>
    <w:p>
      <w:pPr>
        <w:adjustRightInd w:val="0"/>
        <w:snapToGrid w:val="0"/>
        <w:spacing w:line="360" w:lineRule="auto"/>
        <w:ind w:right="420"/>
        <w:rPr>
          <w:rFonts w:hint="eastAsia" w:ascii="宋体" w:hAnsi="宋体"/>
          <w:color w:val="auto"/>
          <w:szCs w:val="21"/>
        </w:rPr>
      </w:pPr>
    </w:p>
    <w:p>
      <w:pPr>
        <w:adjustRightInd w:val="0"/>
        <w:snapToGrid w:val="0"/>
        <w:spacing w:line="360" w:lineRule="auto"/>
        <w:ind w:right="420"/>
        <w:rPr>
          <w:rFonts w:hint="eastAsia" w:ascii="宋体" w:hAnsi="宋体"/>
          <w:color w:val="auto"/>
          <w:szCs w:val="21"/>
        </w:rPr>
      </w:pPr>
    </w:p>
    <w:p>
      <w:pPr>
        <w:adjustRightInd w:val="0"/>
        <w:snapToGrid w:val="0"/>
        <w:spacing w:line="360" w:lineRule="auto"/>
        <w:ind w:right="420"/>
        <w:rPr>
          <w:rFonts w:hint="eastAsia" w:ascii="宋体" w:hAnsi="宋体"/>
          <w:color w:val="auto"/>
          <w:szCs w:val="21"/>
        </w:rPr>
      </w:pPr>
    </w:p>
    <w:p>
      <w:pPr>
        <w:adjustRightInd w:val="0"/>
        <w:snapToGrid w:val="0"/>
        <w:spacing w:line="360" w:lineRule="auto"/>
        <w:ind w:right="420"/>
        <w:rPr>
          <w:rFonts w:hint="eastAsia" w:ascii="宋体" w:hAnsi="宋体"/>
          <w:color w:val="auto"/>
          <w:szCs w:val="21"/>
        </w:rPr>
      </w:pPr>
    </w:p>
    <w:p>
      <w:pPr>
        <w:adjustRightInd w:val="0"/>
        <w:snapToGrid w:val="0"/>
        <w:spacing w:line="360" w:lineRule="auto"/>
        <w:ind w:right="420"/>
        <w:rPr>
          <w:rFonts w:hint="eastAsia" w:ascii="宋体" w:hAnsi="宋体"/>
          <w:color w:val="auto"/>
          <w:szCs w:val="21"/>
        </w:rPr>
      </w:pPr>
      <w:r>
        <w:rPr>
          <w:rFonts w:hint="eastAsia" w:ascii="宋体" w:hAnsi="宋体"/>
          <w:color w:val="auto"/>
          <w:szCs w:val="21"/>
        </w:rPr>
        <w:t>法定代表人（签字）：</w:t>
      </w:r>
      <w:r>
        <w:rPr>
          <w:rFonts w:hint="eastAsia" w:ascii="宋体" w:hAnsi="宋体"/>
          <w:color w:val="auto"/>
          <w:szCs w:val="21"/>
          <w:u w:val="single"/>
        </w:rPr>
        <w:t xml:space="preserve">                     </w:t>
      </w:r>
    </w:p>
    <w:p>
      <w:pPr>
        <w:adjustRightInd w:val="0"/>
        <w:snapToGrid w:val="0"/>
        <w:spacing w:line="360" w:lineRule="auto"/>
        <w:ind w:right="420"/>
        <w:rPr>
          <w:rFonts w:hint="eastAsia" w:ascii="宋体" w:hAnsi="宋体"/>
          <w:color w:val="auto"/>
          <w:szCs w:val="21"/>
        </w:rPr>
      </w:pPr>
      <w:r>
        <w:rPr>
          <w:rFonts w:hint="eastAsia" w:ascii="宋体" w:hAnsi="宋体"/>
          <w:color w:val="auto"/>
          <w:szCs w:val="21"/>
        </w:rPr>
        <w:t>委托代理人（签字）：</w:t>
      </w:r>
      <w:r>
        <w:rPr>
          <w:rFonts w:hint="eastAsia" w:ascii="宋体" w:hAnsi="宋体"/>
          <w:color w:val="auto"/>
          <w:szCs w:val="21"/>
          <w:u w:val="single"/>
        </w:rPr>
        <w:t xml:space="preserve">                     </w:t>
      </w:r>
    </w:p>
    <w:p>
      <w:pPr>
        <w:adjustRightInd w:val="0"/>
        <w:snapToGrid w:val="0"/>
        <w:spacing w:line="360" w:lineRule="auto"/>
        <w:ind w:right="24"/>
        <w:rPr>
          <w:rFonts w:hint="eastAsia"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adjustRightInd w:val="0"/>
        <w:snapToGrid w:val="0"/>
        <w:spacing w:line="480" w:lineRule="exact"/>
        <w:rPr>
          <w:rFonts w:hint="eastAsia" w:ascii="黑体" w:hAnsi="黑体" w:eastAsia="黑体"/>
          <w:bCs/>
          <w:color w:val="auto"/>
          <w:sz w:val="30"/>
          <w:szCs w:val="30"/>
        </w:rPr>
      </w:pPr>
    </w:p>
    <w:p>
      <w:pPr>
        <w:adjustRightInd w:val="0"/>
        <w:snapToGrid w:val="0"/>
        <w:spacing w:line="480" w:lineRule="exact"/>
        <w:rPr>
          <w:rFonts w:hint="eastAsia" w:ascii="黑体" w:hAnsi="黑体" w:eastAsia="黑体"/>
          <w:bCs/>
          <w:color w:val="auto"/>
          <w:sz w:val="30"/>
          <w:szCs w:val="30"/>
        </w:rPr>
      </w:pPr>
    </w:p>
    <w:p>
      <w:pPr>
        <w:adjustRightInd w:val="0"/>
        <w:snapToGrid w:val="0"/>
        <w:spacing w:line="480" w:lineRule="exact"/>
        <w:rPr>
          <w:rFonts w:hint="eastAsia" w:ascii="黑体" w:hAnsi="黑体" w:eastAsia="黑体"/>
          <w:bCs/>
          <w:color w:val="auto"/>
          <w:sz w:val="30"/>
          <w:szCs w:val="30"/>
        </w:rPr>
      </w:pPr>
    </w:p>
    <w:p>
      <w:pPr>
        <w:spacing w:line="360" w:lineRule="exact"/>
        <w:rPr>
          <w:rFonts w:hint="eastAsia" w:ascii="宋体"/>
          <w:b/>
          <w:color w:val="auto"/>
        </w:rPr>
      </w:pPr>
      <w:r>
        <w:rPr>
          <w:rFonts w:hint="eastAsia" w:cs="宋体"/>
          <w:b/>
          <w:bCs/>
          <w:color w:val="auto"/>
          <w:sz w:val="24"/>
        </w:rPr>
        <w:t>注：如授权委托代理人出席开标会，则本授权委托书除投标文件中应提供以外，须另单独准备一份，供开标时对授权委托代理人身份验证时使用。</w:t>
      </w:r>
    </w:p>
    <w:p>
      <w:pPr>
        <w:spacing w:line="360" w:lineRule="exact"/>
        <w:ind w:firstLine="2160" w:firstLineChars="600"/>
        <w:rPr>
          <w:rFonts w:hint="eastAsia" w:ascii="方正小标宋_GBK" w:eastAsia="方正小标宋_GBK"/>
          <w:color w:val="auto"/>
          <w:sz w:val="36"/>
          <w:szCs w:val="36"/>
        </w:rPr>
      </w:pPr>
    </w:p>
    <w:p>
      <w:pPr>
        <w:spacing w:line="360" w:lineRule="exact"/>
        <w:ind w:firstLine="2160" w:firstLineChars="600"/>
        <w:rPr>
          <w:rFonts w:hint="eastAsia" w:ascii="方正小标宋_GBK" w:eastAsia="方正小标宋_GBK"/>
          <w:color w:val="auto"/>
          <w:sz w:val="36"/>
          <w:szCs w:val="36"/>
        </w:rPr>
      </w:pPr>
      <w:r>
        <w:rPr>
          <w:rFonts w:hint="eastAsia" w:ascii="方正小标宋_GBK" w:eastAsia="方正小标宋_GBK"/>
          <w:color w:val="auto"/>
          <w:sz w:val="36"/>
          <w:szCs w:val="36"/>
        </w:rPr>
        <w:t xml:space="preserve"> </w:t>
      </w:r>
    </w:p>
    <w:p>
      <w:pPr>
        <w:spacing w:line="360" w:lineRule="exact"/>
        <w:ind w:firstLine="2160" w:firstLineChars="600"/>
        <w:rPr>
          <w:rFonts w:hint="eastAsia" w:ascii="方正小标宋_GBK" w:eastAsia="方正小标宋_GBK"/>
          <w:color w:val="auto"/>
          <w:sz w:val="36"/>
          <w:szCs w:val="36"/>
        </w:rPr>
      </w:pPr>
    </w:p>
    <w:p>
      <w:pPr>
        <w:spacing w:line="360" w:lineRule="exact"/>
        <w:ind w:firstLine="2160" w:firstLineChars="600"/>
        <w:rPr>
          <w:rFonts w:hint="eastAsia" w:ascii="黑体" w:eastAsia="黑体"/>
          <w:b/>
          <w:color w:val="auto"/>
          <w:sz w:val="32"/>
          <w:szCs w:val="32"/>
        </w:rPr>
      </w:pPr>
      <w:r>
        <w:rPr>
          <w:rFonts w:hint="eastAsia" w:ascii="方正小标宋_GBK" w:eastAsia="方正小标宋_GBK"/>
          <w:color w:val="auto"/>
          <w:sz w:val="36"/>
          <w:szCs w:val="36"/>
        </w:rPr>
        <w:t xml:space="preserve"> </w:t>
      </w:r>
      <w:r>
        <w:rPr>
          <w:rFonts w:hint="eastAsia" w:ascii="黑体" w:eastAsia="黑体"/>
          <w:b/>
          <w:color w:val="auto"/>
          <w:sz w:val="32"/>
          <w:szCs w:val="32"/>
        </w:rPr>
        <w:t>二</w:t>
      </w:r>
      <w:r>
        <w:rPr>
          <w:rFonts w:hint="eastAsia" w:ascii="黑体" w:hAnsi="宋体" w:eastAsia="黑体"/>
          <w:b/>
          <w:color w:val="auto"/>
          <w:sz w:val="32"/>
          <w:szCs w:val="32"/>
        </w:rPr>
        <w:t>、磋商</w:t>
      </w:r>
      <w:r>
        <w:rPr>
          <w:rFonts w:hint="eastAsia" w:ascii="黑体" w:eastAsia="黑体"/>
          <w:b/>
          <w:color w:val="auto"/>
          <w:sz w:val="32"/>
          <w:szCs w:val="32"/>
        </w:rPr>
        <w:t>保证金缴纳证明材料</w:t>
      </w:r>
    </w:p>
    <w:p>
      <w:pPr>
        <w:pStyle w:val="11"/>
        <w:adjustRightInd w:val="0"/>
        <w:snapToGrid w:val="0"/>
        <w:spacing w:beforeLines="50" w:line="360" w:lineRule="auto"/>
        <w:rPr>
          <w:rFonts w:hint="eastAsia" w:hAnsi="宋体"/>
          <w:color w:val="auto"/>
        </w:rPr>
      </w:pPr>
    </w:p>
    <w:p>
      <w:pPr>
        <w:rPr>
          <w:rFonts w:hint="eastAsia" w:eastAsia="宋体"/>
          <w:color w:val="auto"/>
          <w:szCs w:val="22"/>
          <w:lang w:eastAsia="zh-CN"/>
        </w:rPr>
      </w:pPr>
      <w:r>
        <w:rPr>
          <w:rFonts w:hint="eastAsia"/>
          <w:color w:val="auto"/>
          <w:szCs w:val="22"/>
        </w:rPr>
        <w:t>提供付款凭证复印件。</w:t>
      </w:r>
      <w:r>
        <w:rPr>
          <w:rFonts w:hint="eastAsia"/>
          <w:color w:val="auto"/>
          <w:szCs w:val="22"/>
          <w:lang w:eastAsia="zh-CN"/>
        </w:rPr>
        <w:t>（</w:t>
      </w:r>
      <w:r>
        <w:rPr>
          <w:rFonts w:hint="eastAsia"/>
          <w:color w:val="auto"/>
          <w:szCs w:val="22"/>
          <w:lang w:val="en-US" w:eastAsia="zh-CN"/>
        </w:rPr>
        <w:t>无需提供</w:t>
      </w:r>
      <w:r>
        <w:rPr>
          <w:rFonts w:hint="eastAsia"/>
          <w:color w:val="auto"/>
          <w:szCs w:val="22"/>
          <w:lang w:eastAsia="zh-CN"/>
        </w:rPr>
        <w:t>）</w:t>
      </w:r>
    </w:p>
    <w:p>
      <w:pPr>
        <w:adjustRightInd w:val="0"/>
        <w:snapToGrid w:val="0"/>
        <w:spacing w:line="360" w:lineRule="auto"/>
        <w:jc w:val="center"/>
        <w:rPr>
          <w:rFonts w:ascii="黑体" w:hAnsi="宋体" w:eastAsia="黑体"/>
          <w:b/>
          <w:color w:val="auto"/>
          <w:sz w:val="32"/>
          <w:szCs w:val="32"/>
        </w:rPr>
      </w:pPr>
    </w:p>
    <w:p>
      <w:pPr>
        <w:adjustRightInd w:val="0"/>
        <w:snapToGrid w:val="0"/>
        <w:spacing w:line="360" w:lineRule="auto"/>
        <w:outlineLvl w:val="0"/>
        <w:rPr>
          <w:rFonts w:hint="eastAsia" w:ascii="黑体" w:hAnsi="黑体" w:eastAsia="黑体"/>
          <w:b/>
          <w:color w:val="auto"/>
          <w:sz w:val="32"/>
          <w:szCs w:val="32"/>
        </w:rPr>
      </w:pPr>
    </w:p>
    <w:p>
      <w:pPr>
        <w:adjustRightInd w:val="0"/>
        <w:snapToGrid w:val="0"/>
        <w:spacing w:line="360" w:lineRule="auto"/>
        <w:rPr>
          <w:rFonts w:hint="eastAsia" w:ascii="仿宋_GB2312" w:hAnsi="宋体" w:eastAsia="仿宋_GB2312" w:cs="宋体"/>
          <w:color w:val="auto"/>
          <w:kern w:val="0"/>
          <w:szCs w:val="21"/>
        </w:rPr>
      </w:pPr>
    </w:p>
    <w:p>
      <w:pPr>
        <w:adjustRightInd w:val="0"/>
        <w:snapToGrid w:val="0"/>
        <w:spacing w:line="360" w:lineRule="auto"/>
        <w:rPr>
          <w:rFonts w:hint="eastAsia" w:ascii="仿宋_GB2312" w:hAnsi="宋体" w:eastAsia="仿宋_GB2312" w:cs="宋体"/>
          <w:color w:val="auto"/>
          <w:kern w:val="0"/>
          <w:szCs w:val="21"/>
        </w:rPr>
      </w:pPr>
    </w:p>
    <w:p>
      <w:pPr>
        <w:adjustRightInd w:val="0"/>
        <w:snapToGrid w:val="0"/>
        <w:spacing w:line="360" w:lineRule="auto"/>
        <w:rPr>
          <w:rFonts w:hint="eastAsia" w:ascii="仿宋_GB2312" w:hAnsi="宋体" w:eastAsia="仿宋_GB2312" w:cs="宋体"/>
          <w:color w:val="auto"/>
          <w:kern w:val="0"/>
          <w:szCs w:val="21"/>
        </w:rPr>
      </w:pPr>
    </w:p>
    <w:p>
      <w:pPr>
        <w:adjustRightInd w:val="0"/>
        <w:snapToGrid w:val="0"/>
        <w:spacing w:line="360" w:lineRule="auto"/>
        <w:rPr>
          <w:rFonts w:hint="eastAsia" w:ascii="仿宋_GB2312" w:hAnsi="宋体" w:eastAsia="仿宋_GB2312" w:cs="宋体"/>
          <w:color w:val="auto"/>
          <w:kern w:val="0"/>
          <w:szCs w:val="21"/>
        </w:rPr>
      </w:pPr>
    </w:p>
    <w:p>
      <w:pPr>
        <w:adjustRightInd w:val="0"/>
        <w:snapToGrid w:val="0"/>
        <w:spacing w:line="360" w:lineRule="auto"/>
        <w:rPr>
          <w:rFonts w:hint="eastAsia" w:ascii="仿宋_GB2312" w:hAnsi="宋体" w:eastAsia="仿宋_GB2312" w:cs="宋体"/>
          <w:color w:val="auto"/>
          <w:kern w:val="0"/>
          <w:szCs w:val="21"/>
        </w:rPr>
      </w:pPr>
    </w:p>
    <w:p>
      <w:pPr>
        <w:adjustRightInd w:val="0"/>
        <w:snapToGrid w:val="0"/>
        <w:spacing w:line="360" w:lineRule="auto"/>
        <w:rPr>
          <w:rFonts w:hint="eastAsia" w:ascii="仿宋_GB2312" w:hAnsi="宋体" w:eastAsia="仿宋_GB2312" w:cs="宋体"/>
          <w:color w:val="auto"/>
          <w:kern w:val="0"/>
          <w:szCs w:val="21"/>
        </w:rPr>
      </w:pPr>
    </w:p>
    <w:p>
      <w:pPr>
        <w:adjustRightInd w:val="0"/>
        <w:snapToGrid w:val="0"/>
        <w:spacing w:line="360" w:lineRule="auto"/>
        <w:rPr>
          <w:rFonts w:hint="eastAsia" w:ascii="仿宋_GB2312" w:hAnsi="宋体" w:eastAsia="仿宋_GB2312" w:cs="宋体"/>
          <w:color w:val="auto"/>
          <w:kern w:val="0"/>
          <w:szCs w:val="21"/>
        </w:rPr>
      </w:pPr>
    </w:p>
    <w:p>
      <w:pPr>
        <w:adjustRightInd w:val="0"/>
        <w:snapToGrid w:val="0"/>
        <w:spacing w:line="360" w:lineRule="auto"/>
        <w:rPr>
          <w:rFonts w:hint="eastAsia" w:ascii="仿宋_GB2312" w:hAnsi="宋体" w:eastAsia="仿宋_GB2312" w:cs="宋体"/>
          <w:color w:val="auto"/>
          <w:kern w:val="0"/>
          <w:szCs w:val="21"/>
        </w:rPr>
      </w:pPr>
    </w:p>
    <w:p>
      <w:pPr>
        <w:pStyle w:val="5"/>
        <w:rPr>
          <w:rFonts w:hint="eastAsia"/>
          <w:color w:val="auto"/>
        </w:rPr>
      </w:pPr>
    </w:p>
    <w:p>
      <w:pPr>
        <w:rPr>
          <w:rFonts w:hint="eastAsia"/>
          <w:color w:val="auto"/>
        </w:rPr>
      </w:pPr>
    </w:p>
    <w:p>
      <w:pPr>
        <w:pStyle w:val="5"/>
        <w:rPr>
          <w:rFonts w:hint="eastAsia"/>
          <w:color w:val="auto"/>
        </w:rPr>
      </w:pPr>
    </w:p>
    <w:p>
      <w:pPr>
        <w:rPr>
          <w:rFonts w:hint="eastAsia"/>
          <w:color w:val="auto"/>
        </w:rPr>
      </w:pPr>
    </w:p>
    <w:p>
      <w:pPr>
        <w:pStyle w:val="5"/>
        <w:rPr>
          <w:rFonts w:hint="eastAsia"/>
          <w:color w:val="auto"/>
        </w:rPr>
      </w:pPr>
    </w:p>
    <w:p>
      <w:pPr>
        <w:rPr>
          <w:rFonts w:hint="eastAsia"/>
          <w:color w:val="auto"/>
        </w:rPr>
      </w:pPr>
    </w:p>
    <w:p>
      <w:pPr>
        <w:pStyle w:val="5"/>
        <w:rPr>
          <w:rFonts w:hint="eastAsia"/>
          <w:color w:val="auto"/>
        </w:rPr>
      </w:pPr>
    </w:p>
    <w:p>
      <w:pPr>
        <w:rPr>
          <w:rFonts w:hint="eastAsia"/>
          <w:color w:val="auto"/>
        </w:rPr>
      </w:pPr>
    </w:p>
    <w:p>
      <w:pPr>
        <w:pStyle w:val="5"/>
        <w:rPr>
          <w:rFonts w:hint="eastAsia"/>
          <w:color w:val="auto"/>
        </w:rPr>
      </w:pPr>
    </w:p>
    <w:p>
      <w:pPr>
        <w:rPr>
          <w:rFonts w:hint="eastAsia"/>
          <w:color w:val="auto"/>
        </w:rPr>
      </w:pPr>
    </w:p>
    <w:p>
      <w:pPr>
        <w:pStyle w:val="5"/>
        <w:rPr>
          <w:rFonts w:hint="eastAsia"/>
          <w:color w:val="auto"/>
        </w:rPr>
      </w:pPr>
    </w:p>
    <w:p>
      <w:pPr>
        <w:rPr>
          <w:rFonts w:hint="eastAsia"/>
          <w:color w:val="auto"/>
        </w:rPr>
      </w:pPr>
    </w:p>
    <w:p>
      <w:pPr>
        <w:pStyle w:val="5"/>
        <w:rPr>
          <w:rFonts w:hint="eastAsia"/>
          <w:color w:val="auto"/>
        </w:rPr>
      </w:pPr>
    </w:p>
    <w:p>
      <w:pPr>
        <w:adjustRightInd w:val="0"/>
        <w:snapToGrid w:val="0"/>
        <w:spacing w:line="360" w:lineRule="auto"/>
        <w:rPr>
          <w:rFonts w:hint="eastAsia" w:ascii="黑体" w:eastAsia="黑体"/>
          <w:b/>
          <w:color w:val="auto"/>
          <w:sz w:val="32"/>
          <w:szCs w:val="32"/>
        </w:rPr>
      </w:pPr>
    </w:p>
    <w:p>
      <w:pPr>
        <w:pStyle w:val="24"/>
        <w:rPr>
          <w:rFonts w:hint="eastAsia" w:ascii="黑体" w:eastAsia="黑体"/>
          <w:b/>
          <w:color w:val="auto"/>
          <w:sz w:val="32"/>
          <w:szCs w:val="32"/>
        </w:rPr>
      </w:pPr>
    </w:p>
    <w:p>
      <w:pPr>
        <w:pStyle w:val="24"/>
        <w:rPr>
          <w:rFonts w:hint="eastAsia" w:ascii="黑体" w:eastAsia="黑体"/>
          <w:b/>
          <w:color w:val="auto"/>
          <w:sz w:val="32"/>
          <w:szCs w:val="32"/>
        </w:rPr>
      </w:pPr>
    </w:p>
    <w:p>
      <w:pPr>
        <w:pStyle w:val="24"/>
        <w:rPr>
          <w:rFonts w:hint="eastAsia" w:ascii="黑体" w:eastAsia="黑体"/>
          <w:b/>
          <w:color w:val="auto"/>
          <w:sz w:val="32"/>
          <w:szCs w:val="32"/>
        </w:rPr>
      </w:pPr>
    </w:p>
    <w:p>
      <w:pPr>
        <w:pStyle w:val="24"/>
        <w:rPr>
          <w:rFonts w:hint="eastAsia" w:ascii="黑体" w:eastAsia="黑体"/>
          <w:b/>
          <w:color w:val="auto"/>
          <w:sz w:val="32"/>
          <w:szCs w:val="32"/>
        </w:rPr>
      </w:pPr>
    </w:p>
    <w:p>
      <w:pPr>
        <w:pStyle w:val="24"/>
        <w:rPr>
          <w:rFonts w:hint="eastAsia" w:ascii="黑体" w:eastAsia="黑体"/>
          <w:b/>
          <w:color w:val="auto"/>
          <w:sz w:val="32"/>
          <w:szCs w:val="32"/>
        </w:rPr>
      </w:pPr>
    </w:p>
    <w:p>
      <w:pPr>
        <w:adjustRightInd w:val="0"/>
        <w:snapToGrid w:val="0"/>
        <w:spacing w:line="360" w:lineRule="auto"/>
        <w:ind w:firstLine="2249" w:firstLineChars="700"/>
        <w:rPr>
          <w:rFonts w:hint="eastAsia" w:ascii="黑体" w:hAnsi="宋体" w:eastAsia="黑体"/>
          <w:b/>
          <w:bCs/>
          <w:color w:val="auto"/>
          <w:sz w:val="32"/>
          <w:szCs w:val="32"/>
        </w:rPr>
      </w:pPr>
      <w:r>
        <w:rPr>
          <w:rFonts w:hint="eastAsia" w:ascii="黑体" w:eastAsia="黑体"/>
          <w:b/>
          <w:color w:val="auto"/>
          <w:sz w:val="32"/>
          <w:szCs w:val="32"/>
        </w:rPr>
        <w:t>三、</w:t>
      </w:r>
      <w:r>
        <w:rPr>
          <w:rFonts w:hint="eastAsia" w:ascii="黑体" w:hAnsi="宋体" w:eastAsia="黑体"/>
          <w:b/>
          <w:color w:val="auto"/>
          <w:sz w:val="32"/>
          <w:szCs w:val="32"/>
        </w:rPr>
        <w:t>供应商</w:t>
      </w:r>
      <w:r>
        <w:rPr>
          <w:rFonts w:hint="eastAsia" w:ascii="黑体" w:hAnsi="宋体" w:eastAsia="黑体"/>
          <w:b/>
          <w:bCs/>
          <w:color w:val="auto"/>
          <w:sz w:val="32"/>
          <w:szCs w:val="32"/>
        </w:rPr>
        <w:t>的资格证明资料</w:t>
      </w:r>
    </w:p>
    <w:p>
      <w:pPr>
        <w:spacing w:line="480" w:lineRule="exact"/>
        <w:rPr>
          <w:rFonts w:hint="eastAsia" w:ascii="黑体" w:hAnsi="黑体" w:eastAsia="黑体"/>
          <w:color w:val="auto"/>
          <w:sz w:val="30"/>
          <w:szCs w:val="30"/>
        </w:rPr>
      </w:pPr>
      <w:r>
        <w:rPr>
          <w:rFonts w:hint="eastAsia" w:ascii="黑体" w:hAnsi="黑体" w:eastAsia="黑体"/>
          <w:color w:val="auto"/>
          <w:sz w:val="30"/>
          <w:szCs w:val="30"/>
        </w:rPr>
        <w:t>附件3              供应商基本情况表</w:t>
      </w:r>
    </w:p>
    <w:p>
      <w:pPr>
        <w:spacing w:line="480" w:lineRule="exact"/>
        <w:rPr>
          <w:rFonts w:hint="eastAsia" w:ascii="黑体" w:hAnsi="黑体" w:eastAsia="黑体"/>
          <w:color w:val="auto"/>
          <w:sz w:val="30"/>
          <w:szCs w:val="30"/>
        </w:rPr>
      </w:pPr>
    </w:p>
    <w:p>
      <w:pPr>
        <w:adjustRightInd w:val="0"/>
        <w:snapToGrid w:val="0"/>
        <w:spacing w:line="360" w:lineRule="auto"/>
        <w:rPr>
          <w:rFonts w:ascii="宋体" w:hAnsi="宋体"/>
          <w:color w:val="auto"/>
          <w:szCs w:val="21"/>
        </w:rPr>
      </w:pPr>
      <w:r>
        <w:rPr>
          <w:rFonts w:hint="eastAsia" w:ascii="宋体" w:hAnsi="宋体"/>
          <w:color w:val="auto"/>
          <w:szCs w:val="21"/>
        </w:rPr>
        <w:t>盖供应商单位章</w:t>
      </w:r>
    </w:p>
    <w:tbl>
      <w:tblPr>
        <w:tblStyle w:val="1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r>
              <w:rPr>
                <w:rFonts w:hint="eastAsia" w:ascii="宋体" w:hAnsi="宋体"/>
                <w:color w:val="auto"/>
                <w:szCs w:val="21"/>
              </w:rPr>
              <w:t>供应商</w:t>
            </w:r>
            <w:r>
              <w:rPr>
                <w:rFonts w:ascii="宋体" w:hAnsi="宋体"/>
                <w:color w:val="auto"/>
                <w:szCs w:val="21"/>
              </w:rPr>
              <w:t>名称</w:t>
            </w:r>
          </w:p>
        </w:tc>
        <w:tc>
          <w:tcPr>
            <w:tcW w:w="3960" w:type="dxa"/>
            <w:gridSpan w:val="5"/>
            <w:tcBorders>
              <w:top w:val="double" w:color="auto" w:sz="4"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p>
        </w:tc>
        <w:tc>
          <w:tcPr>
            <w:tcW w:w="1329" w:type="dxa"/>
            <w:tcBorders>
              <w:top w:val="double" w:color="auto" w:sz="4"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r>
              <w:rPr>
                <w:rFonts w:ascii="宋体" w:hAnsi="宋体"/>
                <w:color w:val="auto"/>
                <w:szCs w:val="21"/>
              </w:rPr>
              <w:t>法定代表人</w:t>
            </w:r>
          </w:p>
        </w:tc>
        <w:tc>
          <w:tcPr>
            <w:tcW w:w="1911" w:type="dxa"/>
            <w:tcBorders>
              <w:top w:val="double" w:color="auto" w:sz="4" w:space="0"/>
              <w:left w:val="single" w:color="auto" w:sz="6" w:space="0"/>
              <w:bottom w:val="single" w:color="auto" w:sz="6" w:space="0"/>
              <w:right w:val="double" w:color="auto" w:sz="4" w:space="0"/>
            </w:tcBorders>
            <w:noWrap w:val="0"/>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r>
              <w:rPr>
                <w:rFonts w:hint="eastAsia" w:ascii="宋体" w:hAnsi="宋体"/>
                <w:color w:val="auto"/>
                <w:szCs w:val="21"/>
              </w:rPr>
              <w:t>委托代理</w:t>
            </w:r>
            <w:r>
              <w:rPr>
                <w:rFonts w:ascii="宋体" w:hAnsi="宋体"/>
                <w:color w:val="auto"/>
                <w:szCs w:val="21"/>
              </w:rPr>
              <w:t>人</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r>
              <w:rPr>
                <w:rFonts w:ascii="宋体" w:hAnsi="宋体"/>
                <w:color w:val="auto"/>
                <w:szCs w:val="21"/>
              </w:rPr>
              <w:t>邮政编码</w:t>
            </w:r>
          </w:p>
        </w:tc>
        <w:tc>
          <w:tcPr>
            <w:tcW w:w="1911" w:type="dxa"/>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color w:val="auto"/>
                <w:szCs w:val="21"/>
              </w:rPr>
            </w:pP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olor w:val="auto"/>
                <w:szCs w:val="21"/>
              </w:rPr>
            </w:pPr>
            <w:r>
              <w:rPr>
                <w:rFonts w:hint="eastAsia" w:ascii="宋体" w:hAnsi="宋体"/>
                <w:color w:val="auto"/>
                <w:szCs w:val="21"/>
              </w:rPr>
              <w:t>电子邮箱</w:t>
            </w:r>
          </w:p>
        </w:tc>
        <w:tc>
          <w:tcPr>
            <w:tcW w:w="1911" w:type="dxa"/>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color w:val="auto"/>
                <w:szCs w:val="21"/>
              </w:rPr>
            </w:pPr>
            <w:r>
              <w:rPr>
                <w:rFonts w:hint="eastAsia" w:ascii="宋体" w:hAnsi="宋体"/>
                <w:color w:val="auto"/>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olor w:val="auto"/>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color w:val="auto"/>
                <w:szCs w:val="21"/>
              </w:rPr>
            </w:pPr>
            <w:r>
              <w:rPr>
                <w:rFonts w:hint="eastAsia" w:ascii="宋体" w:hAnsi="宋体"/>
                <w:color w:val="auto"/>
                <w:szCs w:val="21"/>
              </w:rPr>
              <w:t>员工总人数</w:t>
            </w:r>
          </w:p>
        </w:tc>
        <w:tc>
          <w:tcPr>
            <w:tcW w:w="1911" w:type="dxa"/>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r>
              <w:rPr>
                <w:rFonts w:hint="eastAsia" w:ascii="宋体" w:hAnsi="宋体"/>
                <w:color w:val="auto"/>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r>
              <w:rPr>
                <w:rFonts w:hint="eastAsia" w:ascii="宋体" w:hAnsi="宋体"/>
                <w:color w:val="auto"/>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ind w:firstLine="105" w:firstLineChars="50"/>
              <w:jc w:val="center"/>
              <w:rPr>
                <w:rFonts w:ascii="宋体" w:hAnsi="宋体"/>
                <w:color w:val="auto"/>
                <w:szCs w:val="21"/>
              </w:rPr>
            </w:pPr>
            <w:r>
              <w:rPr>
                <w:rFonts w:hint="eastAsia" w:ascii="宋体" w:hAnsi="宋体"/>
                <w:color w:val="auto"/>
                <w:szCs w:val="21"/>
              </w:rPr>
              <w:t>注册地址</w:t>
            </w: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5" w:firstLineChars="5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r>
              <w:rPr>
                <w:rFonts w:hint="eastAsia" w:ascii="宋体" w:hAnsi="宋体"/>
                <w:color w:val="auto"/>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ind w:firstLine="105" w:firstLineChars="50"/>
              <w:jc w:val="center"/>
              <w:rPr>
                <w:rFonts w:ascii="宋体" w:hAnsi="宋体"/>
                <w:color w:val="auto"/>
                <w:szCs w:val="21"/>
              </w:rPr>
            </w:pPr>
            <w:r>
              <w:rPr>
                <w:rFonts w:hint="eastAsia" w:ascii="宋体" w:hAnsi="宋体"/>
                <w:color w:val="auto"/>
                <w:szCs w:val="21"/>
              </w:rPr>
              <w:t>发证日期</w:t>
            </w: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5" w:firstLineChars="5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r>
              <w:rPr>
                <w:rFonts w:hint="eastAsia" w:ascii="宋体" w:hAnsi="宋体"/>
                <w:color w:val="auto"/>
                <w:szCs w:val="21"/>
              </w:rPr>
              <w:t>营业范围（主营）</w:t>
            </w:r>
          </w:p>
        </w:tc>
        <w:tc>
          <w:tcPr>
            <w:tcW w:w="6057" w:type="dxa"/>
            <w:gridSpan w:val="6"/>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5" w:firstLineChars="5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r>
              <w:rPr>
                <w:rFonts w:hint="eastAsia" w:ascii="宋体" w:hAnsi="宋体"/>
                <w:color w:val="auto"/>
                <w:szCs w:val="21"/>
              </w:rPr>
              <w:t>营业范围（兼营）</w:t>
            </w:r>
          </w:p>
        </w:tc>
        <w:tc>
          <w:tcPr>
            <w:tcW w:w="6057" w:type="dxa"/>
            <w:gridSpan w:val="6"/>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5" w:firstLineChars="5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r>
              <w:rPr>
                <w:rFonts w:hint="eastAsia" w:ascii="宋体" w:hAnsi="宋体"/>
                <w:color w:val="auto"/>
                <w:szCs w:val="21"/>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r>
              <w:rPr>
                <w:rFonts w:hint="eastAsia" w:ascii="宋体" w:hAnsi="宋体"/>
                <w:color w:val="auto"/>
                <w:szCs w:val="21"/>
              </w:rPr>
              <w:t>税务登记机关</w:t>
            </w:r>
          </w:p>
        </w:tc>
        <w:tc>
          <w:tcPr>
            <w:tcW w:w="6057" w:type="dxa"/>
            <w:gridSpan w:val="6"/>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r>
              <w:rPr>
                <w:rFonts w:ascii="宋体" w:hAnsi="宋体"/>
                <w:color w:val="auto"/>
                <w:szCs w:val="21"/>
              </w:rPr>
              <w:t>资质</w:t>
            </w:r>
            <w:r>
              <w:rPr>
                <w:rFonts w:hint="eastAsia" w:ascii="宋体" w:hAnsi="宋体"/>
                <w:color w:val="auto"/>
                <w:szCs w:val="21"/>
              </w:rPr>
              <w:t>名称</w:t>
            </w: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r>
              <w:rPr>
                <w:rFonts w:ascii="宋体" w:hAnsi="宋体"/>
                <w:color w:val="auto"/>
                <w:szCs w:val="21"/>
              </w:rPr>
              <w:t>等级</w:t>
            </w:r>
          </w:p>
        </w:tc>
        <w:tc>
          <w:tcPr>
            <w:tcW w:w="1083"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r>
              <w:rPr>
                <w:rFonts w:hint="eastAsia" w:ascii="宋体" w:hAnsi="宋体"/>
                <w:color w:val="auto"/>
                <w:szCs w:val="21"/>
              </w:rPr>
              <w:t>发证机关</w:t>
            </w: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ascii="宋体" w:hAnsi="宋体"/>
                <w:color w:val="auto"/>
                <w:szCs w:val="21"/>
              </w:rPr>
            </w:pPr>
            <w:r>
              <w:rPr>
                <w:rFonts w:hint="eastAsia" w:ascii="宋体" w:hAnsi="宋体"/>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noWrap w:val="0"/>
            <w:vAlign w:val="center"/>
          </w:tcPr>
          <w:p>
            <w:pPr>
              <w:topLinePunct/>
              <w:spacing w:line="440" w:lineRule="exact"/>
              <w:jc w:val="center"/>
              <w:rPr>
                <w:rFonts w:ascii="宋体" w:hAnsi="宋体"/>
                <w:color w:val="auto"/>
                <w:szCs w:val="21"/>
              </w:rPr>
            </w:pPr>
            <w:r>
              <w:rPr>
                <w:rFonts w:ascii="宋体" w:hAnsi="宋体"/>
                <w:color w:val="auto"/>
                <w:szCs w:val="21"/>
              </w:rPr>
              <w:t>备注</w:t>
            </w:r>
          </w:p>
        </w:tc>
        <w:tc>
          <w:tcPr>
            <w:tcW w:w="7562" w:type="dxa"/>
            <w:gridSpan w:val="8"/>
            <w:tcBorders>
              <w:top w:val="single" w:color="auto" w:sz="6" w:space="0"/>
              <w:left w:val="single" w:color="auto" w:sz="6" w:space="0"/>
              <w:bottom w:val="double" w:color="auto" w:sz="4" w:space="0"/>
              <w:right w:val="double" w:color="auto" w:sz="4" w:space="0"/>
            </w:tcBorders>
            <w:noWrap w:val="0"/>
            <w:vAlign w:val="center"/>
          </w:tcPr>
          <w:p>
            <w:pPr>
              <w:topLinePunct/>
              <w:spacing w:line="440" w:lineRule="exact"/>
              <w:rPr>
                <w:rFonts w:hint="eastAsia" w:ascii="黑体" w:hAnsi="宋体" w:eastAsia="黑体"/>
                <w:color w:val="auto"/>
                <w:szCs w:val="21"/>
              </w:rPr>
            </w:pPr>
            <w:r>
              <w:rPr>
                <w:rFonts w:hint="eastAsia" w:ascii="黑体" w:hAnsi="宋体" w:eastAsia="黑体"/>
                <w:color w:val="auto"/>
                <w:szCs w:val="21"/>
              </w:rPr>
              <w:t>附《营业执照》（副本）复印件</w:t>
            </w:r>
          </w:p>
        </w:tc>
      </w:tr>
    </w:tbl>
    <w:p>
      <w:pPr>
        <w:spacing w:line="480" w:lineRule="exact"/>
        <w:rPr>
          <w:rFonts w:hint="eastAsia" w:ascii="黑体" w:eastAsia="黑体"/>
          <w:color w:val="auto"/>
          <w:sz w:val="30"/>
          <w:szCs w:val="30"/>
        </w:rPr>
      </w:pPr>
    </w:p>
    <w:p>
      <w:pPr>
        <w:spacing w:line="480" w:lineRule="exact"/>
        <w:rPr>
          <w:rFonts w:hint="eastAsia" w:ascii="黑体" w:eastAsia="黑体"/>
          <w:color w:val="auto"/>
          <w:sz w:val="30"/>
          <w:szCs w:val="30"/>
        </w:rPr>
      </w:pPr>
      <w:r>
        <w:rPr>
          <w:rFonts w:hint="eastAsia" w:ascii="黑体" w:eastAsia="黑体"/>
          <w:color w:val="auto"/>
          <w:sz w:val="30"/>
          <w:szCs w:val="30"/>
        </w:rPr>
        <w:t>附件4      磋商文件规定的基本资格条件证明资料</w:t>
      </w:r>
    </w:p>
    <w:p>
      <w:pPr>
        <w:spacing w:line="480" w:lineRule="exact"/>
        <w:rPr>
          <w:rFonts w:hint="eastAsia" w:ascii="黑体" w:hAnsi="宋体" w:eastAsia="黑体"/>
          <w:color w:val="auto"/>
          <w:szCs w:val="21"/>
        </w:rPr>
      </w:pPr>
    </w:p>
    <w:p>
      <w:pPr>
        <w:spacing w:line="480" w:lineRule="exact"/>
        <w:rPr>
          <w:rFonts w:hint="eastAsia" w:ascii="宋体" w:hAnsi="宋体" w:eastAsia="宋体" w:cs="宋体"/>
          <w:color w:val="auto"/>
          <w:sz w:val="21"/>
          <w:szCs w:val="21"/>
        </w:rPr>
      </w:pPr>
      <w:r>
        <w:rPr>
          <w:rFonts w:hint="eastAsia" w:ascii="宋体" w:hAnsi="宋体" w:eastAsia="宋体" w:cs="宋体"/>
          <w:color w:val="auto"/>
          <w:sz w:val="21"/>
          <w:szCs w:val="21"/>
        </w:rPr>
        <w:t>备注：提供第二章 磋商须知第3.1款供应商基本资格条件：</w:t>
      </w:r>
    </w:p>
    <w:p>
      <w:pPr>
        <w:spacing w:line="480" w:lineRule="exact"/>
        <w:rPr>
          <w:rFonts w:hint="eastAsia" w:ascii="宋体" w:hAnsi="宋体" w:eastAsia="宋体" w:cs="宋体"/>
          <w:color w:val="auto"/>
          <w:sz w:val="21"/>
          <w:szCs w:val="21"/>
        </w:rPr>
      </w:pPr>
      <w:r>
        <w:rPr>
          <w:rFonts w:hint="eastAsia" w:ascii="宋体" w:hAnsi="宋体" w:eastAsia="宋体" w:cs="宋体"/>
          <w:color w:val="auto"/>
          <w:sz w:val="21"/>
          <w:szCs w:val="21"/>
        </w:rPr>
        <w:t>(一)投标人基本资格条件：符合《中华人民共和国政府采购法》</w:t>
      </w:r>
    </w:p>
    <w:p>
      <w:pPr>
        <w:spacing w:line="480" w:lineRule="exact"/>
        <w:rPr>
          <w:rFonts w:hint="eastAsia" w:ascii="宋体" w:hAnsi="宋体" w:eastAsia="宋体" w:cs="宋体"/>
          <w:color w:val="auto"/>
          <w:sz w:val="21"/>
          <w:szCs w:val="21"/>
        </w:rPr>
      </w:pPr>
      <w:r>
        <w:rPr>
          <w:rFonts w:hint="eastAsia" w:ascii="宋体" w:hAnsi="宋体" w:eastAsia="宋体" w:cs="宋体"/>
          <w:color w:val="auto"/>
          <w:sz w:val="21"/>
          <w:szCs w:val="21"/>
        </w:rPr>
        <w:t>第二十二条规定的供应商基本资质条件：</w:t>
      </w:r>
    </w:p>
    <w:p>
      <w:pPr>
        <w:spacing w:line="480" w:lineRule="exact"/>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p>
      <w:pPr>
        <w:spacing w:line="480" w:lineRule="exact"/>
        <w:rPr>
          <w:rFonts w:hint="eastAsia" w:ascii="宋体" w:hAnsi="宋体" w:eastAsia="宋体" w:cs="宋体"/>
          <w:color w:val="auto"/>
          <w:sz w:val="21"/>
          <w:szCs w:val="21"/>
        </w:rPr>
      </w:pPr>
      <w:r>
        <w:rPr>
          <w:rFonts w:hint="eastAsia" w:ascii="宋体" w:hAnsi="宋体" w:eastAsia="宋体" w:cs="宋体"/>
          <w:color w:val="auto"/>
          <w:sz w:val="21"/>
          <w:szCs w:val="21"/>
        </w:rPr>
        <w:t>2.具有良好的商业信誉和健全的财务会计制度：</w:t>
      </w:r>
    </w:p>
    <w:p>
      <w:pPr>
        <w:spacing w:line="480" w:lineRule="exact"/>
        <w:rPr>
          <w:rFonts w:hint="eastAsia" w:ascii="宋体" w:hAnsi="宋体" w:eastAsia="宋体" w:cs="宋体"/>
          <w:color w:val="auto"/>
          <w:sz w:val="21"/>
          <w:szCs w:val="21"/>
        </w:rPr>
      </w:pPr>
      <w:r>
        <w:rPr>
          <w:rFonts w:hint="eastAsia" w:ascii="宋体" w:hAnsi="宋体" w:eastAsia="宋体" w:cs="宋体"/>
          <w:color w:val="auto"/>
          <w:sz w:val="21"/>
          <w:szCs w:val="21"/>
        </w:rPr>
        <w:t>3.具有履行合同所必需的设备和专业技术能力；</w:t>
      </w:r>
    </w:p>
    <w:p>
      <w:pPr>
        <w:spacing w:line="480" w:lineRule="exact"/>
        <w:rPr>
          <w:rFonts w:hint="eastAsia" w:ascii="宋体" w:hAnsi="宋体" w:eastAsia="宋体" w:cs="宋体"/>
          <w:color w:val="auto"/>
          <w:sz w:val="21"/>
          <w:szCs w:val="21"/>
        </w:rPr>
      </w:pPr>
      <w:r>
        <w:rPr>
          <w:rFonts w:hint="eastAsia" w:ascii="宋体" w:hAnsi="宋体" w:eastAsia="宋体" w:cs="宋体"/>
          <w:color w:val="auto"/>
          <w:sz w:val="21"/>
          <w:szCs w:val="21"/>
        </w:rPr>
        <w:t>4.有依法缴纳税收和社会保障资金的良好记录；</w:t>
      </w:r>
    </w:p>
    <w:p>
      <w:pPr>
        <w:spacing w:line="480" w:lineRule="exact"/>
        <w:rPr>
          <w:rFonts w:hint="eastAsia" w:ascii="宋体" w:hAnsi="宋体" w:eastAsia="宋体" w:cs="宋体"/>
          <w:color w:val="auto"/>
          <w:sz w:val="21"/>
          <w:szCs w:val="21"/>
        </w:rPr>
      </w:pPr>
      <w:r>
        <w:rPr>
          <w:rFonts w:hint="eastAsia" w:ascii="宋体" w:hAnsi="宋体" w:eastAsia="宋体" w:cs="宋体"/>
          <w:color w:val="auto"/>
          <w:sz w:val="21"/>
          <w:szCs w:val="21"/>
        </w:rPr>
        <w:t>5.参加政府采购活动前三年内，在经营活动中没有重大违法记录：</w:t>
      </w:r>
    </w:p>
    <w:p>
      <w:pPr>
        <w:spacing w:line="480" w:lineRule="exact"/>
        <w:rPr>
          <w:rFonts w:hint="eastAsia" w:ascii="宋体" w:hAnsi="宋体" w:eastAsia="宋体" w:cs="宋体"/>
          <w:color w:val="auto"/>
          <w:sz w:val="21"/>
          <w:szCs w:val="21"/>
        </w:rPr>
      </w:pPr>
      <w:r>
        <w:rPr>
          <w:rFonts w:hint="eastAsia" w:ascii="宋体" w:hAnsi="宋体" w:eastAsia="宋体" w:cs="宋体"/>
          <w:color w:val="auto"/>
          <w:sz w:val="21"/>
          <w:szCs w:val="21"/>
        </w:rPr>
        <w:t>6.法律、行政法规规定的其他条件。</w:t>
      </w:r>
    </w:p>
    <w:p>
      <w:pPr>
        <w:spacing w:line="480" w:lineRule="exact"/>
        <w:rPr>
          <w:rFonts w:hint="eastAsia" w:ascii="宋体" w:hAnsi="宋体" w:eastAsia="宋体" w:cs="宋体"/>
          <w:color w:val="auto"/>
          <w:sz w:val="21"/>
          <w:szCs w:val="21"/>
        </w:rPr>
      </w:pPr>
      <w:r>
        <w:rPr>
          <w:rFonts w:hint="eastAsia" w:ascii="宋体" w:hAnsi="宋体" w:eastAsia="宋体" w:cs="宋体"/>
          <w:color w:val="auto"/>
          <w:sz w:val="21"/>
          <w:szCs w:val="21"/>
        </w:rPr>
        <w:t>(二)根据《湖南省财政厅关于政府采购促进中小企业发展有关措施的通知》以上基本资格条件中的2、3、4、5证明文件可以以承诺方式递交，如果是承诺方式，请提供《湖南省政府采购供应商资质承诺函》（三）投标人必须有相关资质，提供有效的法人营业执照副本复印件。</w:t>
      </w:r>
    </w:p>
    <w:p>
      <w:pPr>
        <w:pStyle w:val="6"/>
        <w:rPr>
          <w:rFonts w:hint="eastAsia" w:ascii="宋体" w:hAnsi="宋体" w:eastAsia="宋体" w:cs="宋体"/>
          <w:color w:val="auto"/>
          <w:sz w:val="21"/>
          <w:szCs w:val="21"/>
        </w:rPr>
      </w:pPr>
    </w:p>
    <w:p>
      <w:pPr>
        <w:pStyle w:val="6"/>
        <w:rPr>
          <w:rFonts w:hint="eastAsia" w:ascii="宋体" w:hAnsi="宋体" w:eastAsia="宋体" w:cs="宋体"/>
          <w:color w:val="auto"/>
          <w:sz w:val="21"/>
          <w:szCs w:val="21"/>
        </w:rPr>
      </w:pPr>
    </w:p>
    <w:p>
      <w:pPr>
        <w:pStyle w:val="6"/>
        <w:rPr>
          <w:rFonts w:hint="eastAsia" w:ascii="宋体" w:hAnsi="宋体" w:eastAsia="宋体" w:cs="宋体"/>
          <w:color w:val="auto"/>
          <w:sz w:val="21"/>
          <w:szCs w:val="21"/>
        </w:rPr>
      </w:pPr>
    </w:p>
    <w:p>
      <w:pPr>
        <w:pStyle w:val="6"/>
        <w:rPr>
          <w:rFonts w:hint="eastAsia" w:ascii="宋体" w:hAnsi="宋体" w:eastAsia="宋体" w:cs="宋体"/>
          <w:color w:val="auto"/>
          <w:sz w:val="21"/>
          <w:szCs w:val="21"/>
        </w:rPr>
      </w:pPr>
    </w:p>
    <w:p>
      <w:pPr>
        <w:pStyle w:val="6"/>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5"/>
        <w:rPr>
          <w:rFonts w:hint="eastAsia" w:ascii="宋体" w:hAnsi="宋体" w:eastAsia="宋体" w:cs="宋体"/>
          <w:color w:val="auto"/>
          <w:sz w:val="21"/>
          <w:szCs w:val="21"/>
        </w:rPr>
      </w:pPr>
    </w:p>
    <w:p>
      <w:pPr>
        <w:rPr>
          <w:rFonts w:hint="eastAsia"/>
          <w:color w:val="auto"/>
        </w:rPr>
      </w:pPr>
    </w:p>
    <w:p>
      <w:pPr>
        <w:pStyle w:val="6"/>
        <w:rPr>
          <w:rFonts w:ascii="黑体" w:hAnsi="仿宋" w:eastAsia="黑体" w:cs="宋体"/>
          <w:bCs w:val="0"/>
          <w:color w:val="auto"/>
          <w:sz w:val="10"/>
          <w:szCs w:val="10"/>
        </w:rPr>
      </w:pPr>
      <w:r>
        <w:rPr>
          <w:rFonts w:hint="eastAsia" w:ascii="宋体" w:hAnsi="宋体"/>
          <w:color w:val="auto"/>
          <w:sz w:val="21"/>
          <w:szCs w:val="24"/>
        </w:rPr>
        <w:t>附件</w:t>
      </w:r>
      <w:r>
        <w:rPr>
          <w:rFonts w:ascii="宋体" w:hAnsi="宋体"/>
          <w:color w:val="auto"/>
          <w:sz w:val="21"/>
          <w:szCs w:val="24"/>
        </w:rPr>
        <w:t>4</w:t>
      </w:r>
      <w:r>
        <w:rPr>
          <w:rFonts w:hint="eastAsia" w:ascii="宋体" w:hAnsi="宋体"/>
          <w:color w:val="auto"/>
          <w:sz w:val="21"/>
          <w:szCs w:val="24"/>
        </w:rPr>
        <w:t>-2 湖南省政府采购供应商资格承诺函(格式)</w:t>
      </w:r>
    </w:p>
    <w:p>
      <w:pPr>
        <w:widowControl/>
        <w:adjustRightInd w:val="0"/>
        <w:snapToGrid w:val="0"/>
        <w:spacing w:before="468" w:beforeLines="150" w:line="360" w:lineRule="auto"/>
        <w:jc w:val="center"/>
        <w:rPr>
          <w:rFonts w:ascii="宋体" w:hAnsi="宋体" w:cs="宋体"/>
          <w:color w:val="auto"/>
          <w:szCs w:val="21"/>
        </w:rPr>
      </w:pPr>
      <w:r>
        <w:rPr>
          <w:rFonts w:hint="eastAsia" w:ascii="黑体" w:hAnsi="仿宋" w:eastAsia="黑体" w:cs="宋体"/>
          <w:b/>
          <w:color w:val="auto"/>
          <w:sz w:val="28"/>
          <w:szCs w:val="28"/>
        </w:rPr>
        <w:t>湖南省政府采购供应商资格承诺函(格式)</w:t>
      </w:r>
    </w:p>
    <w:p>
      <w:pPr>
        <w:widowControl/>
        <w:spacing w:before="156"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pacing w:before="156" w:beforeLines="50" w:line="360" w:lineRule="auto"/>
        <w:ind w:firstLine="630" w:firstLineChars="300"/>
        <w:jc w:val="left"/>
        <w:rPr>
          <w:rFonts w:ascii="宋体" w:hAnsi="宋体" w:cs="宋体"/>
          <w:color w:val="auto"/>
          <w:szCs w:val="21"/>
        </w:rPr>
      </w:pPr>
      <w:r>
        <w:rPr>
          <w:rFonts w:hint="eastAsia" w:ascii="宋体" w:hAnsi="宋体" w:cs="宋体"/>
          <w:color w:val="auto"/>
          <w:szCs w:val="21"/>
        </w:rPr>
        <w:t>按照《政府采购促进中小企业发展管理办法》(财库〔2020〕46号),本公司企业规模为:</w:t>
      </w:r>
    </w:p>
    <w:p>
      <w:pPr>
        <w:widowControl/>
        <w:spacing w:before="156"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 口大型、 口中型 、  □小型  、 □微型。</w:t>
      </w:r>
    </w:p>
    <w:p>
      <w:pPr>
        <w:widowControl/>
        <w:spacing w:before="156"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公司(单位)名称(盖章)：</w:t>
      </w:r>
      <w:r>
        <w:rPr>
          <w:rFonts w:hint="eastAsia" w:ascii="宋体" w:hAnsi="宋体"/>
          <w:color w:val="auto"/>
          <w:szCs w:val="21"/>
          <w:u w:val="single"/>
        </w:rPr>
        <w:t xml:space="preserve">                 </w:t>
      </w:r>
    </w:p>
    <w:p>
      <w:pPr>
        <w:widowControl/>
        <w:spacing w:before="156" w:beforeLines="50" w:line="360" w:lineRule="auto"/>
        <w:ind w:firstLine="420" w:firstLineChars="200"/>
        <w:jc w:val="left"/>
        <w:rPr>
          <w:rFonts w:ascii="宋体" w:hAnsi="宋体"/>
          <w:color w:val="auto"/>
          <w:szCs w:val="21"/>
          <w:u w:val="single"/>
        </w:rPr>
      </w:pPr>
      <w:r>
        <w:rPr>
          <w:rFonts w:hint="eastAsia" w:ascii="宋体" w:hAnsi="宋体" w:cs="宋体"/>
          <w:color w:val="auto"/>
          <w:szCs w:val="21"/>
        </w:rPr>
        <w:t>机构代码、</w:t>
      </w:r>
      <w:r>
        <w:rPr>
          <w:rFonts w:hint="eastAsia" w:ascii="宋体" w:hAnsi="宋体"/>
          <w:color w:val="auto"/>
          <w:szCs w:val="21"/>
          <w:u w:val="single"/>
        </w:rPr>
        <w:t xml:space="preserve">                 </w:t>
      </w:r>
      <w:r>
        <w:rPr>
          <w:rFonts w:hint="eastAsia" w:ascii="宋体" w:hAnsi="宋体" w:cs="宋体"/>
          <w:color w:val="auto"/>
          <w:szCs w:val="21"/>
        </w:rPr>
        <w:t>注册登记机构、</w:t>
      </w:r>
      <w:r>
        <w:rPr>
          <w:rFonts w:hint="eastAsia" w:ascii="宋体" w:hAnsi="宋体"/>
          <w:color w:val="auto"/>
          <w:szCs w:val="21"/>
          <w:u w:val="single"/>
        </w:rPr>
        <w:t xml:space="preserve">                 </w:t>
      </w:r>
    </w:p>
    <w:p>
      <w:pPr>
        <w:widowControl/>
        <w:spacing w:before="156" w:beforeLines="50" w:line="360" w:lineRule="auto"/>
        <w:ind w:firstLine="420" w:firstLineChars="200"/>
        <w:jc w:val="left"/>
        <w:rPr>
          <w:rFonts w:ascii="宋体" w:hAnsi="宋体"/>
          <w:color w:val="auto"/>
          <w:szCs w:val="21"/>
          <w:u w:val="single"/>
        </w:rPr>
      </w:pPr>
      <w:r>
        <w:rPr>
          <w:rFonts w:hint="eastAsia" w:ascii="宋体" w:hAnsi="宋体" w:cs="宋体"/>
          <w:color w:val="auto"/>
          <w:szCs w:val="21"/>
        </w:rPr>
        <w:t>日期</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s="宋体"/>
          <w:color w:val="auto"/>
          <w:szCs w:val="21"/>
        </w:rPr>
        <w:t>有效期</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s="宋体"/>
          <w:color w:val="auto"/>
          <w:szCs w:val="21"/>
        </w:rPr>
        <w:t>注册资本</w:t>
      </w:r>
      <w:r>
        <w:rPr>
          <w:rFonts w:hint="eastAsia" w:ascii="宋体" w:hAnsi="宋体"/>
          <w:color w:val="auto"/>
          <w:szCs w:val="21"/>
          <w:u w:val="single"/>
        </w:rPr>
        <w:t xml:space="preserve">                 </w:t>
      </w:r>
      <w:r>
        <w:rPr>
          <w:rFonts w:hint="eastAsia" w:ascii="宋体" w:hAnsi="宋体"/>
          <w:color w:val="auto"/>
          <w:szCs w:val="21"/>
        </w:rPr>
        <w:t>、</w:t>
      </w:r>
    </w:p>
    <w:p>
      <w:pPr>
        <w:widowControl/>
        <w:spacing w:before="156"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地 址</w:t>
      </w:r>
      <w:r>
        <w:rPr>
          <w:rFonts w:hint="eastAsia" w:ascii="宋体" w:hAnsi="宋体"/>
          <w:color w:val="auto"/>
          <w:szCs w:val="21"/>
          <w:u w:val="single"/>
        </w:rPr>
        <w:t xml:space="preserve">                 </w:t>
      </w:r>
      <w:r>
        <w:rPr>
          <w:rFonts w:hint="eastAsia" w:ascii="宋体" w:hAnsi="宋体" w:cs="宋体"/>
          <w:color w:val="auto"/>
          <w:szCs w:val="21"/>
        </w:rPr>
        <w:t>、经济行业</w:t>
      </w:r>
      <w:r>
        <w:rPr>
          <w:rFonts w:hint="eastAsia" w:ascii="宋体" w:hAnsi="宋体"/>
          <w:color w:val="auto"/>
          <w:szCs w:val="21"/>
          <w:u w:val="single"/>
        </w:rPr>
        <w:t xml:space="preserve">                 </w:t>
      </w:r>
      <w:r>
        <w:rPr>
          <w:rFonts w:hint="eastAsia" w:ascii="宋体" w:hAnsi="宋体" w:cs="宋体"/>
          <w:color w:val="auto"/>
          <w:szCs w:val="21"/>
        </w:rPr>
        <w:t>、经济性质</w:t>
      </w:r>
      <w:r>
        <w:rPr>
          <w:rFonts w:hint="eastAsia" w:ascii="宋体" w:hAnsi="宋体"/>
          <w:color w:val="auto"/>
          <w:szCs w:val="21"/>
          <w:u w:val="single"/>
        </w:rPr>
        <w:t xml:space="preserve">                 </w:t>
      </w:r>
    </w:p>
    <w:p>
      <w:pPr>
        <w:widowControl/>
        <w:spacing w:before="156"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法定代表人(负责人)姓名(签字)</w:t>
      </w:r>
      <w:r>
        <w:rPr>
          <w:rFonts w:hint="eastAsia" w:ascii="宋体" w:hAnsi="宋体"/>
          <w:color w:val="auto"/>
          <w:szCs w:val="21"/>
          <w:u w:val="single"/>
        </w:rPr>
        <w:t xml:space="preserve">                 </w:t>
      </w:r>
      <w:r>
        <w:rPr>
          <w:rFonts w:hint="eastAsia" w:ascii="宋体" w:hAnsi="宋体" w:cs="宋体"/>
          <w:color w:val="auto"/>
          <w:szCs w:val="21"/>
        </w:rPr>
        <w:t>、</w:t>
      </w:r>
    </w:p>
    <w:p>
      <w:pPr>
        <w:widowControl/>
        <w:spacing w:before="156"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身份证号</w:t>
      </w:r>
      <w:r>
        <w:rPr>
          <w:rFonts w:hint="eastAsia" w:ascii="宋体" w:hAnsi="宋体"/>
          <w:color w:val="auto"/>
          <w:szCs w:val="21"/>
          <w:u w:val="single"/>
        </w:rPr>
        <w:t xml:space="preserve">                 </w:t>
      </w:r>
      <w:r>
        <w:rPr>
          <w:rFonts w:hint="eastAsia" w:ascii="宋体" w:hAnsi="宋体" w:cs="宋体"/>
          <w:color w:val="auto"/>
          <w:szCs w:val="21"/>
        </w:rPr>
        <w:t>、手机号:</w:t>
      </w:r>
      <w:r>
        <w:rPr>
          <w:rFonts w:hint="eastAsia" w:ascii="宋体" w:hAnsi="宋体"/>
          <w:color w:val="auto"/>
          <w:szCs w:val="21"/>
          <w:u w:val="single"/>
        </w:rPr>
        <w:t xml:space="preserve">                 </w:t>
      </w:r>
    </w:p>
    <w:p>
      <w:pPr>
        <w:widowControl/>
        <w:spacing w:before="156"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授权代表人姓名(签字)</w:t>
      </w:r>
      <w:r>
        <w:rPr>
          <w:rFonts w:hint="eastAsia" w:ascii="宋体" w:hAnsi="宋体"/>
          <w:color w:val="auto"/>
          <w:szCs w:val="21"/>
          <w:u w:val="single"/>
        </w:rPr>
        <w:t xml:space="preserve">                 </w:t>
      </w:r>
      <w:r>
        <w:rPr>
          <w:rFonts w:hint="eastAsia" w:ascii="宋体" w:hAnsi="宋体" w:cs="宋体"/>
          <w:color w:val="auto"/>
          <w:szCs w:val="21"/>
        </w:rPr>
        <w:t>、</w:t>
      </w:r>
    </w:p>
    <w:p>
      <w:pPr>
        <w:widowControl/>
        <w:spacing w:before="156"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身份证号</w:t>
      </w:r>
      <w:r>
        <w:rPr>
          <w:rFonts w:hint="eastAsia" w:ascii="宋体" w:hAnsi="宋体"/>
          <w:color w:val="auto"/>
          <w:szCs w:val="21"/>
          <w:u w:val="single"/>
        </w:rPr>
        <w:t xml:space="preserve">                 </w:t>
      </w:r>
      <w:r>
        <w:rPr>
          <w:rFonts w:hint="eastAsia" w:ascii="宋体" w:hAnsi="宋体" w:cs="宋体"/>
          <w:color w:val="auto"/>
          <w:szCs w:val="21"/>
        </w:rPr>
        <w:t>、手机号:</w:t>
      </w:r>
      <w:r>
        <w:rPr>
          <w:rFonts w:hint="eastAsia" w:ascii="宋体" w:hAnsi="宋体"/>
          <w:color w:val="auto"/>
          <w:szCs w:val="21"/>
          <w:u w:val="single"/>
        </w:rPr>
        <w:t xml:space="preserve">                 </w:t>
      </w:r>
    </w:p>
    <w:p>
      <w:pPr>
        <w:widowControl/>
        <w:spacing w:before="156" w:beforeLines="50" w:line="360" w:lineRule="auto"/>
        <w:ind w:firstLine="420" w:firstLineChars="200"/>
        <w:jc w:val="left"/>
        <w:rPr>
          <w:rFonts w:ascii="宋体" w:hAnsi="宋体" w:cs="宋体"/>
          <w:color w:val="auto"/>
          <w:szCs w:val="21"/>
        </w:rPr>
      </w:pPr>
    </w:p>
    <w:p>
      <w:pPr>
        <w:spacing w:line="480" w:lineRule="exact"/>
        <w:rPr>
          <w:rFonts w:hint="eastAsia" w:ascii="宋体" w:hAnsi="宋体" w:eastAsia="宋体" w:cs="宋体"/>
          <w:color w:val="auto"/>
          <w:sz w:val="21"/>
          <w:szCs w:val="21"/>
        </w:rPr>
      </w:pPr>
    </w:p>
    <w:p>
      <w:pPr>
        <w:spacing w:line="480" w:lineRule="exact"/>
        <w:rPr>
          <w:rFonts w:hint="eastAsia" w:ascii="黑体" w:eastAsia="黑体"/>
          <w:color w:val="auto"/>
          <w:sz w:val="30"/>
          <w:szCs w:val="30"/>
        </w:rPr>
      </w:pPr>
    </w:p>
    <w:p>
      <w:pPr>
        <w:adjustRightInd w:val="0"/>
        <w:snapToGrid w:val="0"/>
        <w:spacing w:line="360" w:lineRule="auto"/>
        <w:rPr>
          <w:rFonts w:hint="eastAsia" w:ascii="黑体" w:hAnsi="宋体" w:eastAsia="黑体"/>
          <w:color w:val="auto"/>
          <w:sz w:val="28"/>
          <w:szCs w:val="28"/>
        </w:rPr>
      </w:pPr>
    </w:p>
    <w:p>
      <w:pPr>
        <w:adjustRightInd w:val="0"/>
        <w:snapToGrid w:val="0"/>
        <w:spacing w:line="360" w:lineRule="auto"/>
        <w:rPr>
          <w:rFonts w:hint="eastAsia" w:ascii="黑体" w:hAnsi="宋体" w:eastAsia="黑体"/>
          <w:color w:val="auto"/>
          <w:sz w:val="28"/>
          <w:szCs w:val="28"/>
        </w:rPr>
      </w:pPr>
    </w:p>
    <w:p>
      <w:pPr>
        <w:adjustRightInd w:val="0"/>
        <w:snapToGrid w:val="0"/>
        <w:spacing w:line="360" w:lineRule="auto"/>
        <w:rPr>
          <w:rFonts w:hint="eastAsia" w:ascii="黑体" w:hAnsi="宋体" w:eastAsia="黑体"/>
          <w:color w:val="auto"/>
          <w:sz w:val="28"/>
          <w:szCs w:val="28"/>
        </w:rPr>
      </w:pPr>
    </w:p>
    <w:p>
      <w:pPr>
        <w:pStyle w:val="5"/>
        <w:rPr>
          <w:rFonts w:hint="eastAsia" w:ascii="黑体" w:hAnsi="宋体" w:eastAsia="黑体"/>
          <w:color w:val="auto"/>
          <w:sz w:val="28"/>
          <w:szCs w:val="28"/>
        </w:rPr>
      </w:pPr>
    </w:p>
    <w:p>
      <w:pPr>
        <w:rPr>
          <w:rFonts w:hint="eastAsia"/>
          <w:color w:val="auto"/>
        </w:rPr>
      </w:pPr>
    </w:p>
    <w:p>
      <w:pPr>
        <w:adjustRightInd w:val="0"/>
        <w:snapToGrid w:val="0"/>
        <w:spacing w:line="360" w:lineRule="auto"/>
        <w:rPr>
          <w:rFonts w:hint="eastAsia" w:ascii="黑体" w:hAnsi="宋体" w:eastAsia="黑体"/>
          <w:color w:val="auto"/>
          <w:sz w:val="28"/>
          <w:szCs w:val="28"/>
        </w:rPr>
      </w:pPr>
    </w:p>
    <w:p>
      <w:pPr>
        <w:adjustRightInd w:val="0"/>
        <w:snapToGrid w:val="0"/>
        <w:spacing w:line="360" w:lineRule="auto"/>
        <w:jc w:val="center"/>
        <w:rPr>
          <w:rFonts w:hint="eastAsia" w:ascii="黑体" w:hAnsi="宋体" w:eastAsia="黑体"/>
          <w:color w:val="auto"/>
          <w:sz w:val="28"/>
          <w:szCs w:val="28"/>
        </w:rPr>
      </w:pPr>
      <w:r>
        <w:rPr>
          <w:rFonts w:hint="eastAsia" w:ascii="黑体" w:hAnsi="宋体" w:eastAsia="黑体"/>
          <w:color w:val="auto"/>
          <w:sz w:val="28"/>
          <w:szCs w:val="28"/>
        </w:rPr>
        <w:t>参加采购活动前三年内在经营活动中没有重大违法记录的书面</w:t>
      </w:r>
    </w:p>
    <w:p>
      <w:pPr>
        <w:adjustRightInd w:val="0"/>
        <w:snapToGrid w:val="0"/>
        <w:spacing w:line="360" w:lineRule="auto"/>
        <w:jc w:val="center"/>
        <w:rPr>
          <w:rFonts w:ascii="黑体" w:hAnsi="宋体" w:eastAsia="黑体"/>
          <w:color w:val="auto"/>
          <w:sz w:val="28"/>
          <w:szCs w:val="28"/>
        </w:rPr>
      </w:pPr>
      <w:r>
        <w:rPr>
          <w:rFonts w:hint="eastAsia" w:ascii="黑体" w:hAnsi="宋体" w:eastAsia="黑体"/>
          <w:color w:val="auto"/>
          <w:sz w:val="28"/>
          <w:szCs w:val="28"/>
        </w:rPr>
        <w:t>声明</w:t>
      </w:r>
    </w:p>
    <w:p>
      <w:pPr>
        <w:adjustRightInd w:val="0"/>
        <w:snapToGrid w:val="0"/>
        <w:spacing w:beforeLines="50" w:line="360" w:lineRule="auto"/>
        <w:outlineLvl w:val="0"/>
        <w:rPr>
          <w:rFonts w:ascii="宋体" w:hAnsi="宋体"/>
          <w:color w:val="auto"/>
          <w:sz w:val="24"/>
        </w:rPr>
      </w:pPr>
    </w:p>
    <w:p>
      <w:pPr>
        <w:adjustRightInd w:val="0"/>
        <w:snapToGrid w:val="0"/>
        <w:spacing w:beforeLines="50" w:line="360" w:lineRule="auto"/>
        <w:ind w:left="-88" w:leftChars="-42"/>
        <w:outlineLvl w:val="0"/>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olor w:val="auto"/>
          <w:szCs w:val="21"/>
          <w:u w:val="single"/>
          <w:lang w:eastAsia="zh-CN"/>
        </w:rPr>
        <w:t>东霖工程管理有限公司</w:t>
      </w:r>
      <w:r>
        <w:rPr>
          <w:rFonts w:hint="eastAsia" w:ascii="宋体" w:hAnsi="宋体"/>
          <w:color w:val="auto"/>
          <w:szCs w:val="21"/>
          <w:u w:val="single"/>
        </w:rPr>
        <w:t xml:space="preserve"> </w:t>
      </w:r>
      <w:r>
        <w:rPr>
          <w:rFonts w:hint="eastAsia" w:ascii="宋体" w:hAnsi="宋体"/>
          <w:color w:val="auto"/>
          <w:szCs w:val="21"/>
        </w:rPr>
        <w:t>(采购代理机构)：</w:t>
      </w:r>
    </w:p>
    <w:p>
      <w:pPr>
        <w:adjustRightInd w:val="0"/>
        <w:snapToGrid w:val="0"/>
        <w:spacing w:beforeLines="50" w:line="360" w:lineRule="auto"/>
        <w:ind w:left="-88" w:leftChars="-42"/>
        <w:rPr>
          <w:rFonts w:ascii="宋体" w:hAnsi="宋体"/>
          <w:color w:val="auto"/>
          <w:szCs w:val="21"/>
        </w:rPr>
      </w:pPr>
    </w:p>
    <w:p>
      <w:pPr>
        <w:widowControl/>
        <w:adjustRightInd w:val="0"/>
        <w:snapToGrid w:val="0"/>
        <w:spacing w:beforeLines="50" w:line="360" w:lineRule="auto"/>
        <w:ind w:firstLine="420" w:firstLineChars="200"/>
        <w:rPr>
          <w:rFonts w:ascii="宋体" w:hAnsi="宋体"/>
          <w:color w:val="auto"/>
          <w:szCs w:val="21"/>
        </w:rPr>
      </w:pPr>
      <w:r>
        <w:rPr>
          <w:rFonts w:hint="eastAsia" w:ascii="宋体" w:hAnsi="宋体"/>
          <w:bCs/>
          <w:color w:val="auto"/>
          <w:szCs w:val="21"/>
        </w:rPr>
        <w:t>我单位在</w:t>
      </w:r>
      <w:r>
        <w:rPr>
          <w:rFonts w:hint="eastAsia" w:ascii="宋体" w:hAnsi="宋体"/>
          <w:color w:val="auto"/>
          <w:szCs w:val="21"/>
        </w:rPr>
        <w:t>参加采购活动前三年内在经营活动中没有重大违法记录，包括：</w:t>
      </w:r>
    </w:p>
    <w:p>
      <w:pPr>
        <w:widowControl/>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（一）</w:t>
      </w:r>
      <w:r>
        <w:rPr>
          <w:rFonts w:hint="eastAsia" w:ascii="宋体" w:hAnsi="宋体"/>
          <w:bCs/>
          <w:color w:val="auto"/>
          <w:szCs w:val="21"/>
        </w:rPr>
        <w:t>我单位</w:t>
      </w:r>
      <w:r>
        <w:rPr>
          <w:rFonts w:hint="eastAsia" w:ascii="宋体" w:hAnsi="宋体"/>
          <w:color w:val="auto"/>
          <w:szCs w:val="21"/>
        </w:rPr>
        <w:t>或者其法定代表人、董事、监事、高级管理人员因经营活动中的违法行为受到行政处罚，但警告和罚款额在三万元以下的行政处罚除外；</w:t>
      </w:r>
    </w:p>
    <w:p>
      <w:pPr>
        <w:widowControl/>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（二）</w:t>
      </w:r>
      <w:r>
        <w:rPr>
          <w:rFonts w:hint="eastAsia" w:ascii="宋体" w:hAnsi="宋体"/>
          <w:bCs/>
          <w:color w:val="auto"/>
          <w:szCs w:val="21"/>
        </w:rPr>
        <w:t>我单位</w:t>
      </w:r>
      <w:r>
        <w:rPr>
          <w:rFonts w:hint="eastAsia" w:ascii="宋体" w:hAnsi="宋体"/>
          <w:color w:val="auto"/>
          <w:szCs w:val="21"/>
        </w:rPr>
        <w:t>或者其法定代表人、董事、监事、高级管理人员因经营活动中的违法行为受到刑事处罚。</w:t>
      </w:r>
    </w:p>
    <w:p>
      <w:pPr>
        <w:widowControl/>
        <w:adjustRightInd w:val="0"/>
        <w:snapToGrid w:val="0"/>
        <w:spacing w:beforeLines="50" w:line="360" w:lineRule="auto"/>
        <w:ind w:firstLine="200"/>
        <w:rPr>
          <w:rFonts w:ascii="宋体" w:hAnsi="宋体"/>
          <w:color w:val="auto"/>
          <w:szCs w:val="21"/>
        </w:rPr>
      </w:pPr>
      <w:r>
        <w:rPr>
          <w:rFonts w:hint="eastAsia" w:ascii="宋体" w:hAnsi="宋体"/>
          <w:color w:val="auto"/>
          <w:szCs w:val="21"/>
        </w:rPr>
        <w:t>特此声明！</w:t>
      </w:r>
    </w:p>
    <w:p>
      <w:pPr>
        <w:widowControl/>
        <w:adjustRightInd w:val="0"/>
        <w:snapToGrid w:val="0"/>
        <w:spacing w:beforeLines="50" w:line="360" w:lineRule="auto"/>
        <w:ind w:firstLine="420"/>
        <w:rPr>
          <w:rFonts w:ascii="宋体" w:hAnsi="宋体"/>
          <w:color w:val="auto"/>
          <w:szCs w:val="21"/>
        </w:rPr>
      </w:pPr>
    </w:p>
    <w:p>
      <w:pPr>
        <w:widowControl/>
        <w:adjustRightInd w:val="0"/>
        <w:snapToGrid w:val="0"/>
        <w:spacing w:beforeLines="50" w:line="360" w:lineRule="auto"/>
        <w:ind w:firstLine="420"/>
        <w:rPr>
          <w:rFonts w:ascii="宋体" w:hAnsi="宋体"/>
          <w:color w:val="auto"/>
          <w:szCs w:val="21"/>
        </w:rPr>
      </w:pPr>
    </w:p>
    <w:p>
      <w:pPr>
        <w:adjustRightInd w:val="0"/>
        <w:snapToGrid w:val="0"/>
        <w:spacing w:beforeLines="50" w:line="360" w:lineRule="auto"/>
        <w:rPr>
          <w:rFonts w:ascii="宋体" w:hAnsi="宋体"/>
          <w:color w:val="auto"/>
          <w:szCs w:val="21"/>
        </w:rPr>
      </w:pPr>
      <w:r>
        <w:rPr>
          <w:rFonts w:hint="eastAsia" w:ascii="宋体" w:hAnsi="宋体"/>
          <w:color w:val="auto"/>
          <w:szCs w:val="21"/>
        </w:rPr>
        <w:t xml:space="preserve">投标人名称（单位章）： </w:t>
      </w:r>
    </w:p>
    <w:p>
      <w:pPr>
        <w:adjustRightInd w:val="0"/>
        <w:snapToGrid w:val="0"/>
        <w:spacing w:beforeLines="50" w:line="360" w:lineRule="auto"/>
        <w:rPr>
          <w:rFonts w:ascii="宋体" w:hAnsi="宋体"/>
          <w:color w:val="auto"/>
          <w:szCs w:val="21"/>
        </w:rPr>
      </w:pPr>
      <w:r>
        <w:rPr>
          <w:rFonts w:hint="eastAsia" w:ascii="宋体" w:hAnsi="宋体"/>
          <w:color w:val="auto"/>
          <w:szCs w:val="21"/>
        </w:rPr>
        <w:t>法定代表人（签字或盖章）：</w:t>
      </w:r>
      <w:r>
        <w:rPr>
          <w:rFonts w:hint="eastAsia" w:ascii="宋体" w:hAnsi="宋体"/>
          <w:color w:val="auto"/>
          <w:szCs w:val="21"/>
          <w:u w:val="single"/>
        </w:rPr>
        <w:t xml:space="preserve">              </w:t>
      </w:r>
    </w:p>
    <w:p>
      <w:pPr>
        <w:widowControl/>
        <w:adjustRightInd w:val="0"/>
        <w:snapToGrid w:val="0"/>
        <w:spacing w:beforeLines="50" w:line="360" w:lineRule="auto"/>
        <w:rPr>
          <w:color w:val="auto"/>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 xml:space="preserve"> 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adjustRightInd w:val="0"/>
        <w:snapToGrid w:val="0"/>
        <w:spacing w:line="360" w:lineRule="auto"/>
        <w:jc w:val="center"/>
        <w:outlineLvl w:val="0"/>
        <w:rPr>
          <w:rFonts w:ascii="方正小标宋_GBK" w:hAnsi="华文中宋" w:eastAsia="方正小标宋_GBK"/>
          <w:color w:val="auto"/>
          <w:sz w:val="36"/>
          <w:szCs w:val="36"/>
        </w:rPr>
      </w:pPr>
    </w:p>
    <w:p>
      <w:pPr>
        <w:adjustRightInd w:val="0"/>
        <w:snapToGrid w:val="0"/>
        <w:spacing w:line="360" w:lineRule="auto"/>
        <w:jc w:val="center"/>
        <w:outlineLvl w:val="0"/>
        <w:rPr>
          <w:rFonts w:ascii="方正小标宋_GBK" w:hAnsi="华文中宋" w:eastAsia="方正小标宋_GBK"/>
          <w:color w:val="auto"/>
          <w:sz w:val="36"/>
          <w:szCs w:val="36"/>
        </w:rPr>
      </w:pPr>
    </w:p>
    <w:p>
      <w:pPr>
        <w:adjustRightInd w:val="0"/>
        <w:snapToGrid w:val="0"/>
        <w:spacing w:line="360" w:lineRule="auto"/>
        <w:jc w:val="center"/>
        <w:outlineLvl w:val="0"/>
        <w:rPr>
          <w:rFonts w:ascii="方正小标宋_GBK" w:hAnsi="华文中宋" w:eastAsia="方正小标宋_GBK"/>
          <w:color w:val="auto"/>
          <w:sz w:val="36"/>
          <w:szCs w:val="36"/>
        </w:rPr>
      </w:pPr>
    </w:p>
    <w:p>
      <w:pPr>
        <w:pStyle w:val="2"/>
        <w:rPr>
          <w:color w:val="auto"/>
        </w:rPr>
      </w:pPr>
    </w:p>
    <w:p>
      <w:pPr>
        <w:adjustRightInd w:val="0"/>
        <w:snapToGrid w:val="0"/>
        <w:spacing w:line="360" w:lineRule="auto"/>
        <w:jc w:val="center"/>
        <w:outlineLvl w:val="0"/>
        <w:rPr>
          <w:rFonts w:hint="eastAsia" w:ascii="方正小标宋_GBK" w:hAnsi="华文中宋" w:eastAsia="方正小标宋_GBK"/>
          <w:color w:val="auto"/>
          <w:sz w:val="36"/>
          <w:szCs w:val="36"/>
        </w:rPr>
      </w:pPr>
    </w:p>
    <w:p>
      <w:pPr>
        <w:pStyle w:val="6"/>
        <w:rPr>
          <w:rFonts w:ascii="黑体" w:hAnsi="仿宋" w:eastAsia="黑体" w:cs="宋体"/>
          <w:bCs w:val="0"/>
          <w:color w:val="auto"/>
          <w:sz w:val="10"/>
          <w:szCs w:val="10"/>
        </w:rPr>
      </w:pPr>
      <w:bookmarkStart w:id="1" w:name="_Toc9685"/>
      <w:r>
        <w:rPr>
          <w:rFonts w:hint="eastAsia" w:ascii="宋体" w:hAnsi="宋体"/>
          <w:color w:val="auto"/>
          <w:sz w:val="21"/>
          <w:szCs w:val="24"/>
        </w:rPr>
        <w:t>附件</w:t>
      </w:r>
      <w:r>
        <w:rPr>
          <w:rFonts w:ascii="宋体" w:hAnsi="宋体"/>
          <w:color w:val="auto"/>
          <w:sz w:val="21"/>
          <w:szCs w:val="24"/>
        </w:rPr>
        <w:t>4</w:t>
      </w:r>
      <w:r>
        <w:rPr>
          <w:rFonts w:hint="eastAsia" w:ascii="宋体" w:hAnsi="宋体"/>
          <w:color w:val="auto"/>
          <w:sz w:val="21"/>
          <w:szCs w:val="24"/>
        </w:rPr>
        <w:t>-2 湖南省政府采购供应商资格承诺函(格式)</w:t>
      </w:r>
      <w:bookmarkEnd w:id="1"/>
    </w:p>
    <w:p>
      <w:pPr>
        <w:widowControl/>
        <w:adjustRightInd w:val="0"/>
        <w:snapToGrid w:val="0"/>
        <w:spacing w:before="468" w:beforeLines="150" w:line="360" w:lineRule="auto"/>
        <w:jc w:val="center"/>
        <w:rPr>
          <w:rFonts w:ascii="宋体" w:hAnsi="宋体" w:cs="宋体"/>
          <w:color w:val="auto"/>
          <w:szCs w:val="21"/>
        </w:rPr>
      </w:pPr>
      <w:r>
        <w:rPr>
          <w:rFonts w:hint="eastAsia" w:ascii="黑体" w:hAnsi="仿宋" w:eastAsia="黑体" w:cs="宋体"/>
          <w:b/>
          <w:color w:val="auto"/>
          <w:sz w:val="28"/>
          <w:szCs w:val="28"/>
        </w:rPr>
        <w:t>湖南省政府采购供应商资格承诺函(格式)</w:t>
      </w:r>
    </w:p>
    <w:p>
      <w:pPr>
        <w:widowControl/>
        <w:spacing w:before="156"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pacing w:before="156" w:beforeLines="50" w:line="360" w:lineRule="auto"/>
        <w:ind w:firstLine="630" w:firstLineChars="300"/>
        <w:jc w:val="left"/>
        <w:rPr>
          <w:rFonts w:ascii="宋体" w:hAnsi="宋体" w:cs="宋体"/>
          <w:color w:val="auto"/>
          <w:szCs w:val="21"/>
        </w:rPr>
      </w:pPr>
      <w:r>
        <w:rPr>
          <w:rFonts w:hint="eastAsia" w:ascii="宋体" w:hAnsi="宋体" w:cs="宋体"/>
          <w:color w:val="auto"/>
          <w:szCs w:val="21"/>
        </w:rPr>
        <w:t>按照《政府采购促进中小企业发展管理办法》(财库〔2020〕46号),本公司企业规模为:</w:t>
      </w:r>
    </w:p>
    <w:p>
      <w:pPr>
        <w:widowControl/>
        <w:spacing w:before="156"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 口大型、 口中型 、  □小型  、 □微型。</w:t>
      </w:r>
    </w:p>
    <w:p>
      <w:pPr>
        <w:widowControl/>
        <w:spacing w:before="156"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公司(单位)名称(盖章)：</w:t>
      </w:r>
      <w:r>
        <w:rPr>
          <w:rFonts w:hint="eastAsia" w:ascii="宋体" w:hAnsi="宋体"/>
          <w:color w:val="auto"/>
          <w:szCs w:val="21"/>
          <w:u w:val="single"/>
        </w:rPr>
        <w:t xml:space="preserve">                 </w:t>
      </w:r>
    </w:p>
    <w:p>
      <w:pPr>
        <w:widowControl/>
        <w:spacing w:before="156" w:beforeLines="50" w:line="360" w:lineRule="auto"/>
        <w:ind w:firstLine="420" w:firstLineChars="200"/>
        <w:jc w:val="left"/>
        <w:rPr>
          <w:rFonts w:ascii="宋体" w:hAnsi="宋体"/>
          <w:color w:val="auto"/>
          <w:szCs w:val="21"/>
          <w:u w:val="single"/>
        </w:rPr>
      </w:pPr>
      <w:r>
        <w:rPr>
          <w:rFonts w:hint="eastAsia" w:ascii="宋体" w:hAnsi="宋体" w:cs="宋体"/>
          <w:color w:val="auto"/>
          <w:szCs w:val="21"/>
        </w:rPr>
        <w:t>机构代码、</w:t>
      </w:r>
      <w:r>
        <w:rPr>
          <w:rFonts w:hint="eastAsia" w:ascii="宋体" w:hAnsi="宋体"/>
          <w:color w:val="auto"/>
          <w:szCs w:val="21"/>
          <w:u w:val="single"/>
        </w:rPr>
        <w:t xml:space="preserve">                 </w:t>
      </w:r>
      <w:r>
        <w:rPr>
          <w:rFonts w:hint="eastAsia" w:ascii="宋体" w:hAnsi="宋体" w:cs="宋体"/>
          <w:color w:val="auto"/>
          <w:szCs w:val="21"/>
        </w:rPr>
        <w:t>注册登记机构、</w:t>
      </w:r>
      <w:r>
        <w:rPr>
          <w:rFonts w:hint="eastAsia" w:ascii="宋体" w:hAnsi="宋体"/>
          <w:color w:val="auto"/>
          <w:szCs w:val="21"/>
          <w:u w:val="single"/>
        </w:rPr>
        <w:t xml:space="preserve">                 </w:t>
      </w:r>
    </w:p>
    <w:p>
      <w:pPr>
        <w:widowControl/>
        <w:spacing w:before="156" w:beforeLines="50" w:line="360" w:lineRule="auto"/>
        <w:ind w:firstLine="420" w:firstLineChars="200"/>
        <w:jc w:val="left"/>
        <w:rPr>
          <w:rFonts w:ascii="宋体" w:hAnsi="宋体"/>
          <w:color w:val="auto"/>
          <w:szCs w:val="21"/>
          <w:u w:val="single"/>
        </w:rPr>
      </w:pPr>
      <w:r>
        <w:rPr>
          <w:rFonts w:hint="eastAsia" w:ascii="宋体" w:hAnsi="宋体" w:cs="宋体"/>
          <w:color w:val="auto"/>
          <w:szCs w:val="21"/>
        </w:rPr>
        <w:t>日期</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s="宋体"/>
          <w:color w:val="auto"/>
          <w:szCs w:val="21"/>
        </w:rPr>
        <w:t>有效期</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s="宋体"/>
          <w:color w:val="auto"/>
          <w:szCs w:val="21"/>
        </w:rPr>
        <w:t>注册资本</w:t>
      </w:r>
      <w:r>
        <w:rPr>
          <w:rFonts w:hint="eastAsia" w:ascii="宋体" w:hAnsi="宋体"/>
          <w:color w:val="auto"/>
          <w:szCs w:val="21"/>
          <w:u w:val="single"/>
        </w:rPr>
        <w:t xml:space="preserve">                 </w:t>
      </w:r>
      <w:r>
        <w:rPr>
          <w:rFonts w:hint="eastAsia" w:ascii="宋体" w:hAnsi="宋体"/>
          <w:color w:val="auto"/>
          <w:szCs w:val="21"/>
        </w:rPr>
        <w:t>、</w:t>
      </w:r>
    </w:p>
    <w:p>
      <w:pPr>
        <w:widowControl/>
        <w:spacing w:before="156"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地 址</w:t>
      </w:r>
      <w:r>
        <w:rPr>
          <w:rFonts w:hint="eastAsia" w:ascii="宋体" w:hAnsi="宋体"/>
          <w:color w:val="auto"/>
          <w:szCs w:val="21"/>
          <w:u w:val="single"/>
        </w:rPr>
        <w:t xml:space="preserve">                 </w:t>
      </w:r>
      <w:r>
        <w:rPr>
          <w:rFonts w:hint="eastAsia" w:ascii="宋体" w:hAnsi="宋体" w:cs="宋体"/>
          <w:color w:val="auto"/>
          <w:szCs w:val="21"/>
        </w:rPr>
        <w:t>、经济行业</w:t>
      </w:r>
      <w:r>
        <w:rPr>
          <w:rFonts w:hint="eastAsia" w:ascii="宋体" w:hAnsi="宋体"/>
          <w:color w:val="auto"/>
          <w:szCs w:val="21"/>
          <w:u w:val="single"/>
        </w:rPr>
        <w:t xml:space="preserve">                 </w:t>
      </w:r>
      <w:r>
        <w:rPr>
          <w:rFonts w:hint="eastAsia" w:ascii="宋体" w:hAnsi="宋体" w:cs="宋体"/>
          <w:color w:val="auto"/>
          <w:szCs w:val="21"/>
        </w:rPr>
        <w:t>、经济性质</w:t>
      </w:r>
      <w:r>
        <w:rPr>
          <w:rFonts w:hint="eastAsia" w:ascii="宋体" w:hAnsi="宋体"/>
          <w:color w:val="auto"/>
          <w:szCs w:val="21"/>
          <w:u w:val="single"/>
        </w:rPr>
        <w:t xml:space="preserve">                 </w:t>
      </w:r>
    </w:p>
    <w:p>
      <w:pPr>
        <w:widowControl/>
        <w:spacing w:before="156"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法定代表人(负责人)姓名(签字)</w:t>
      </w:r>
      <w:r>
        <w:rPr>
          <w:rFonts w:hint="eastAsia" w:ascii="宋体" w:hAnsi="宋体"/>
          <w:color w:val="auto"/>
          <w:szCs w:val="21"/>
          <w:u w:val="single"/>
        </w:rPr>
        <w:t xml:space="preserve">                 </w:t>
      </w:r>
      <w:r>
        <w:rPr>
          <w:rFonts w:hint="eastAsia" w:ascii="宋体" w:hAnsi="宋体" w:cs="宋体"/>
          <w:color w:val="auto"/>
          <w:szCs w:val="21"/>
        </w:rPr>
        <w:t>、</w:t>
      </w:r>
    </w:p>
    <w:p>
      <w:pPr>
        <w:widowControl/>
        <w:spacing w:before="156"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身份证号</w:t>
      </w:r>
      <w:r>
        <w:rPr>
          <w:rFonts w:hint="eastAsia" w:ascii="宋体" w:hAnsi="宋体"/>
          <w:color w:val="auto"/>
          <w:szCs w:val="21"/>
          <w:u w:val="single"/>
        </w:rPr>
        <w:t xml:space="preserve">                 </w:t>
      </w:r>
      <w:r>
        <w:rPr>
          <w:rFonts w:hint="eastAsia" w:ascii="宋体" w:hAnsi="宋体" w:cs="宋体"/>
          <w:color w:val="auto"/>
          <w:szCs w:val="21"/>
        </w:rPr>
        <w:t>、手机号:</w:t>
      </w:r>
      <w:r>
        <w:rPr>
          <w:rFonts w:hint="eastAsia" w:ascii="宋体" w:hAnsi="宋体"/>
          <w:color w:val="auto"/>
          <w:szCs w:val="21"/>
          <w:u w:val="single"/>
        </w:rPr>
        <w:t xml:space="preserve">                 </w:t>
      </w:r>
    </w:p>
    <w:p>
      <w:pPr>
        <w:widowControl/>
        <w:spacing w:before="156"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授权代表人姓名(签字)</w:t>
      </w:r>
      <w:r>
        <w:rPr>
          <w:rFonts w:hint="eastAsia" w:ascii="宋体" w:hAnsi="宋体"/>
          <w:color w:val="auto"/>
          <w:szCs w:val="21"/>
          <w:u w:val="single"/>
        </w:rPr>
        <w:t xml:space="preserve">                 </w:t>
      </w:r>
      <w:r>
        <w:rPr>
          <w:rFonts w:hint="eastAsia" w:ascii="宋体" w:hAnsi="宋体" w:cs="宋体"/>
          <w:color w:val="auto"/>
          <w:szCs w:val="21"/>
        </w:rPr>
        <w:t>、</w:t>
      </w:r>
    </w:p>
    <w:p>
      <w:pPr>
        <w:widowControl/>
        <w:spacing w:before="156"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身份证号</w:t>
      </w:r>
      <w:r>
        <w:rPr>
          <w:rFonts w:hint="eastAsia" w:ascii="宋体" w:hAnsi="宋体"/>
          <w:color w:val="auto"/>
          <w:szCs w:val="21"/>
          <w:u w:val="single"/>
        </w:rPr>
        <w:t xml:space="preserve">                 </w:t>
      </w:r>
      <w:r>
        <w:rPr>
          <w:rFonts w:hint="eastAsia" w:ascii="宋体" w:hAnsi="宋体" w:cs="宋体"/>
          <w:color w:val="auto"/>
          <w:szCs w:val="21"/>
        </w:rPr>
        <w:t>、手机号:</w:t>
      </w:r>
      <w:r>
        <w:rPr>
          <w:rFonts w:hint="eastAsia" w:ascii="宋体" w:hAnsi="宋体"/>
          <w:color w:val="auto"/>
          <w:szCs w:val="21"/>
          <w:u w:val="single"/>
        </w:rPr>
        <w:t xml:space="preserve">                 </w:t>
      </w:r>
    </w:p>
    <w:p>
      <w:pPr>
        <w:widowControl/>
        <w:spacing w:before="156" w:beforeLines="50" w:line="360" w:lineRule="auto"/>
        <w:ind w:firstLine="420" w:firstLineChars="200"/>
        <w:jc w:val="left"/>
        <w:rPr>
          <w:rFonts w:ascii="宋体" w:hAnsi="宋体" w:cs="宋体"/>
          <w:color w:val="auto"/>
          <w:szCs w:val="21"/>
        </w:rPr>
      </w:pPr>
    </w:p>
    <w:p>
      <w:pPr>
        <w:spacing w:line="480" w:lineRule="exact"/>
        <w:rPr>
          <w:rFonts w:hint="eastAsia" w:ascii="黑体" w:eastAsia="黑体"/>
          <w:color w:val="auto"/>
          <w:sz w:val="30"/>
          <w:szCs w:val="30"/>
        </w:rPr>
      </w:pPr>
    </w:p>
    <w:p>
      <w:pPr>
        <w:spacing w:line="480" w:lineRule="exact"/>
        <w:rPr>
          <w:rFonts w:hint="eastAsia" w:ascii="黑体" w:eastAsia="黑体"/>
          <w:color w:val="auto"/>
          <w:sz w:val="30"/>
          <w:szCs w:val="30"/>
        </w:rPr>
      </w:pPr>
    </w:p>
    <w:p>
      <w:pPr>
        <w:pStyle w:val="18"/>
        <w:rPr>
          <w:rFonts w:hint="eastAsia"/>
          <w:color w:val="auto"/>
        </w:rPr>
      </w:pPr>
    </w:p>
    <w:p>
      <w:pPr>
        <w:pStyle w:val="8"/>
        <w:rPr>
          <w:rFonts w:hint="eastAsia"/>
          <w:color w:val="auto"/>
        </w:rPr>
      </w:pPr>
    </w:p>
    <w:p>
      <w:pPr>
        <w:pStyle w:val="8"/>
        <w:rPr>
          <w:rFonts w:hint="eastAsia"/>
          <w:color w:val="auto"/>
        </w:rPr>
      </w:pPr>
    </w:p>
    <w:p>
      <w:pPr>
        <w:pStyle w:val="8"/>
        <w:rPr>
          <w:rFonts w:hint="eastAsia"/>
          <w:color w:val="auto"/>
        </w:rPr>
      </w:pPr>
    </w:p>
    <w:p>
      <w:pPr>
        <w:pStyle w:val="8"/>
        <w:rPr>
          <w:rFonts w:hint="eastAsia"/>
          <w:color w:val="auto"/>
        </w:rPr>
      </w:pPr>
    </w:p>
    <w:p>
      <w:pPr>
        <w:pStyle w:val="8"/>
        <w:rPr>
          <w:rFonts w:hint="eastAsia"/>
          <w:color w:val="auto"/>
        </w:rPr>
      </w:pPr>
    </w:p>
    <w:p>
      <w:pPr>
        <w:pStyle w:val="8"/>
        <w:rPr>
          <w:rFonts w:hint="eastAsia"/>
          <w:color w:val="auto"/>
        </w:rPr>
      </w:pPr>
    </w:p>
    <w:p>
      <w:pPr>
        <w:spacing w:line="480" w:lineRule="exact"/>
        <w:rPr>
          <w:rFonts w:hint="eastAsia" w:ascii="黑体" w:eastAsia="黑体"/>
          <w:color w:val="auto"/>
          <w:sz w:val="30"/>
          <w:szCs w:val="30"/>
        </w:rPr>
      </w:pPr>
    </w:p>
    <w:p>
      <w:pPr>
        <w:spacing w:line="480" w:lineRule="exact"/>
        <w:rPr>
          <w:rFonts w:hint="eastAsia" w:ascii="黑体" w:eastAsia="黑体"/>
          <w:color w:val="auto"/>
          <w:sz w:val="30"/>
          <w:szCs w:val="30"/>
        </w:rPr>
      </w:pPr>
      <w:r>
        <w:rPr>
          <w:rFonts w:hint="eastAsia" w:ascii="黑体" w:eastAsia="黑体"/>
          <w:color w:val="auto"/>
          <w:sz w:val="30"/>
          <w:szCs w:val="30"/>
        </w:rPr>
        <w:t>附件5  磋商文件规定的特定资格条件证明资料</w:t>
      </w:r>
    </w:p>
    <w:p>
      <w:pPr>
        <w:spacing w:line="480" w:lineRule="exact"/>
        <w:rPr>
          <w:rFonts w:hint="eastAsia" w:ascii="宋体" w:hAnsi="宋体"/>
          <w:color w:val="auto"/>
          <w:szCs w:val="21"/>
        </w:rPr>
      </w:pPr>
      <w:r>
        <w:rPr>
          <w:rFonts w:hint="eastAsia" w:ascii="宋体" w:hAnsi="宋体"/>
          <w:color w:val="auto"/>
          <w:szCs w:val="21"/>
        </w:rPr>
        <w:t>备注：提供第二章 磋商须知第3.1款供应商特定资格条件证明资料的复印件。</w:t>
      </w:r>
    </w:p>
    <w:p>
      <w:pPr>
        <w:adjustRightInd w:val="0"/>
        <w:snapToGrid w:val="0"/>
        <w:spacing w:line="360" w:lineRule="auto"/>
        <w:rPr>
          <w:rFonts w:hint="eastAsia" w:ascii="黑体" w:eastAsia="黑体"/>
          <w:b/>
          <w:color w:val="auto"/>
          <w:sz w:val="30"/>
          <w:szCs w:val="30"/>
        </w:rPr>
      </w:pPr>
    </w:p>
    <w:p>
      <w:pPr>
        <w:adjustRightInd w:val="0"/>
        <w:snapToGrid w:val="0"/>
        <w:spacing w:line="360" w:lineRule="auto"/>
        <w:rPr>
          <w:rFonts w:hint="eastAsia" w:ascii="黑体" w:eastAsia="黑体"/>
          <w:b/>
          <w:color w:val="auto"/>
          <w:sz w:val="30"/>
          <w:szCs w:val="30"/>
        </w:rPr>
      </w:pPr>
    </w:p>
    <w:p>
      <w:pPr>
        <w:rPr>
          <w:rFonts w:hint="eastAsia" w:ascii="黑体" w:eastAsia="黑体"/>
          <w:b/>
          <w:color w:val="auto"/>
          <w:sz w:val="30"/>
          <w:szCs w:val="30"/>
        </w:rPr>
      </w:pPr>
    </w:p>
    <w:p>
      <w:pPr>
        <w:pStyle w:val="7"/>
        <w:adjustRightInd w:val="0"/>
        <w:snapToGrid w:val="0"/>
        <w:spacing w:before="156" w:beforeLines="50" w:after="0" w:line="360" w:lineRule="auto"/>
        <w:rPr>
          <w:rFonts w:ascii="黑体" w:hAnsi="仿宋" w:cs="宋体"/>
          <w:b w:val="0"/>
          <w:color w:val="auto"/>
          <w:sz w:val="21"/>
          <w:szCs w:val="21"/>
        </w:rPr>
      </w:pPr>
      <w:r>
        <w:rPr>
          <w:rFonts w:hint="eastAsia" w:ascii="黑体" w:eastAsia="黑体"/>
          <w:b/>
          <w:color w:val="auto"/>
          <w:sz w:val="30"/>
          <w:szCs w:val="30"/>
          <w:lang w:val="en-US" w:eastAsia="zh-CN"/>
        </w:rPr>
        <w:t xml:space="preserve">附件6 </w:t>
      </w:r>
      <w:r>
        <w:rPr>
          <w:rFonts w:hint="eastAsia" w:ascii="黑体" w:hAnsi="仿宋" w:cs="宋体"/>
          <w:b w:val="0"/>
          <w:color w:val="auto"/>
          <w:sz w:val="21"/>
          <w:szCs w:val="21"/>
        </w:rPr>
        <w:t>投标人资格声明(格式)</w:t>
      </w:r>
    </w:p>
    <w:p>
      <w:pPr>
        <w:widowControl/>
        <w:adjustRightInd w:val="0"/>
        <w:snapToGrid w:val="0"/>
        <w:spacing w:before="156" w:beforeLines="50" w:line="360" w:lineRule="auto"/>
        <w:jc w:val="center"/>
        <w:rPr>
          <w:rFonts w:ascii="宋体" w:hAnsi="宋体" w:eastAsia="宋体" w:cs="宋体"/>
          <w:color w:val="auto"/>
          <w:szCs w:val="21"/>
        </w:rPr>
      </w:pPr>
      <w:r>
        <w:rPr>
          <w:rFonts w:hint="eastAsia" w:ascii="黑体" w:hAnsi="仿宋" w:eastAsia="黑体" w:cs="宋体"/>
          <w:b/>
          <w:color w:val="auto"/>
          <w:sz w:val="28"/>
          <w:szCs w:val="28"/>
        </w:rPr>
        <w:t>投标人资格声明(格式)</w:t>
      </w:r>
    </w:p>
    <w:p>
      <w:pPr>
        <w:widowControl/>
        <w:adjustRightInd w:val="0"/>
        <w:snapToGrid w:val="0"/>
        <w:spacing w:before="156" w:beforeLines="50" w:line="360" w:lineRule="auto"/>
        <w:jc w:val="left"/>
        <w:rPr>
          <w:rFonts w:ascii="宋体" w:hAnsi="宋体" w:cs="宋体"/>
          <w:color w:val="auto"/>
          <w:kern w:val="0"/>
          <w:szCs w:val="21"/>
        </w:rPr>
      </w:pPr>
      <w:r>
        <w:rPr>
          <w:rFonts w:hint="eastAsia" w:ascii="宋体" w:hAnsi="宋体" w:cs="宋体"/>
          <w:color w:val="auto"/>
          <w:szCs w:val="21"/>
        </w:rPr>
        <w:t>致</w:t>
      </w:r>
      <w:r>
        <w:rPr>
          <w:rFonts w:hint="eastAsia" w:ascii="宋体" w:hAnsi="宋体" w:cs="宋体"/>
          <w:color w:val="auto"/>
          <w:szCs w:val="21"/>
          <w:u w:val="single"/>
        </w:rPr>
        <w:t xml:space="preserve">            </w:t>
      </w:r>
      <w:r>
        <w:rPr>
          <w:rFonts w:hint="eastAsia" w:ascii="宋体" w:hAnsi="宋体" w:cs="宋体"/>
          <w:color w:val="auto"/>
          <w:szCs w:val="21"/>
        </w:rPr>
        <w:t>(采购人、采购代理机构)：</w:t>
      </w:r>
    </w:p>
    <w:p>
      <w:pPr>
        <w:widowControl/>
        <w:adjustRightInd w:val="0"/>
        <w:snapToGrid w:val="0"/>
        <w:spacing w:before="156" w:beforeLines="50" w:line="360" w:lineRule="auto"/>
        <w:ind w:firstLine="420" w:firstLineChars="200"/>
        <w:jc w:val="left"/>
        <w:rPr>
          <w:rFonts w:ascii="宋体" w:hAnsi="宋体" w:cs="宋体"/>
          <w:color w:val="auto"/>
          <w:kern w:val="0"/>
          <w:szCs w:val="21"/>
        </w:rPr>
      </w:pPr>
      <w:r>
        <w:rPr>
          <w:rFonts w:hint="eastAsia" w:ascii="宋体" w:hAnsi="宋体" w:cs="宋体"/>
          <w:color w:val="auto"/>
          <w:szCs w:val="21"/>
        </w:rPr>
        <w:t>按照《中华人民共和国政府采购法》第二十二条和招标文件的规定，我单位郑重声明如下：</w:t>
      </w:r>
    </w:p>
    <w:p>
      <w:pPr>
        <w:widowControl/>
        <w:adjustRightInd w:val="0"/>
        <w:snapToGrid w:val="0"/>
        <w:spacing w:before="156" w:beforeLines="50" w:line="360" w:lineRule="auto"/>
        <w:ind w:firstLine="420" w:firstLineChars="200"/>
        <w:jc w:val="left"/>
        <w:rPr>
          <w:rFonts w:ascii="宋体" w:hAnsi="宋体" w:cs="宋体"/>
          <w:color w:val="auto"/>
          <w:kern w:val="0"/>
          <w:szCs w:val="21"/>
        </w:rPr>
      </w:pPr>
      <w:r>
        <w:rPr>
          <w:rFonts w:hint="eastAsia" w:ascii="宋体" w:hAnsi="宋体" w:cs="宋体"/>
          <w:color w:val="auto"/>
          <w:szCs w:val="21"/>
        </w:rPr>
        <w:t>一、我单位是按照中华人民共和国法律规定登记注册的，注册地点为</w:t>
      </w:r>
      <w:r>
        <w:rPr>
          <w:rFonts w:hint="eastAsia" w:ascii="宋体" w:hAnsi="宋体" w:cs="宋体"/>
          <w:color w:val="auto"/>
          <w:szCs w:val="21"/>
          <w:u w:val="single"/>
        </w:rPr>
        <w:t xml:space="preserve">         </w:t>
      </w:r>
      <w:r>
        <w:rPr>
          <w:rFonts w:hint="eastAsia" w:ascii="宋体" w:hAnsi="宋体" w:cs="宋体"/>
          <w:color w:val="auto"/>
          <w:szCs w:val="21"/>
        </w:rPr>
        <w:t>，全称为</w:t>
      </w:r>
      <w:r>
        <w:rPr>
          <w:rFonts w:hint="eastAsia" w:ascii="宋体" w:hAnsi="宋体" w:cs="宋体"/>
          <w:color w:val="auto"/>
          <w:szCs w:val="21"/>
          <w:u w:val="single"/>
        </w:rPr>
        <w:t xml:space="preserve">        </w:t>
      </w:r>
      <w:r>
        <w:rPr>
          <w:rFonts w:hint="eastAsia" w:ascii="宋体" w:hAnsi="宋体" w:cs="宋体"/>
          <w:color w:val="auto"/>
          <w:szCs w:val="21"/>
        </w:rPr>
        <w:t>，统一社会信用代码为</w:t>
      </w:r>
      <w:r>
        <w:rPr>
          <w:rFonts w:hint="eastAsia" w:ascii="宋体" w:hAnsi="宋体" w:cs="宋体"/>
          <w:color w:val="auto"/>
          <w:szCs w:val="21"/>
          <w:u w:val="single"/>
        </w:rPr>
        <w:t xml:space="preserve">            </w:t>
      </w:r>
      <w:r>
        <w:rPr>
          <w:rFonts w:hint="eastAsia" w:ascii="宋体" w:hAnsi="宋体" w:cs="宋体"/>
          <w:color w:val="auto"/>
          <w:szCs w:val="21"/>
        </w:rPr>
        <w:t>，法定代表人</w:t>
      </w:r>
      <w:r>
        <w:rPr>
          <w:rFonts w:hint="eastAsia" w:ascii="宋体" w:hAnsi="宋体" w:eastAsia="宋体" w:cs="微软雅黑"/>
          <w:color w:val="auto"/>
          <w:kern w:val="0"/>
          <w:szCs w:val="21"/>
        </w:rPr>
        <w:t>（</w:t>
      </w:r>
      <w:r>
        <w:rPr>
          <w:rFonts w:hint="eastAsia" w:ascii="宋体" w:hAnsi="宋体" w:eastAsia="宋体" w:cs="微软雅黑"/>
          <w:color w:val="auto"/>
          <w:spacing w:val="-2"/>
          <w:kern w:val="0"/>
          <w:szCs w:val="21"/>
        </w:rPr>
        <w:t>单</w:t>
      </w:r>
      <w:r>
        <w:rPr>
          <w:rFonts w:hint="eastAsia" w:ascii="宋体" w:hAnsi="宋体" w:eastAsia="宋体" w:cs="微软雅黑"/>
          <w:color w:val="auto"/>
          <w:kern w:val="0"/>
          <w:szCs w:val="21"/>
        </w:rPr>
        <w:t>位</w:t>
      </w:r>
      <w:r>
        <w:rPr>
          <w:rFonts w:hint="eastAsia" w:ascii="宋体" w:hAnsi="宋体" w:eastAsia="宋体" w:cs="微软雅黑"/>
          <w:color w:val="auto"/>
          <w:spacing w:val="-2"/>
          <w:kern w:val="0"/>
          <w:szCs w:val="21"/>
        </w:rPr>
        <w:t>负</w:t>
      </w:r>
      <w:r>
        <w:rPr>
          <w:rFonts w:hint="eastAsia" w:ascii="宋体" w:hAnsi="宋体" w:eastAsia="宋体" w:cs="微软雅黑"/>
          <w:color w:val="auto"/>
          <w:kern w:val="0"/>
          <w:szCs w:val="21"/>
        </w:rPr>
        <w:t>责人</w:t>
      </w:r>
      <w:r>
        <w:rPr>
          <w:rFonts w:hint="eastAsia" w:ascii="宋体" w:hAnsi="宋体" w:eastAsia="宋体" w:cs="微软雅黑"/>
          <w:color w:val="auto"/>
          <w:spacing w:val="-2"/>
          <w:kern w:val="0"/>
          <w:szCs w:val="21"/>
        </w:rPr>
        <w:t>）</w:t>
      </w:r>
      <w:r>
        <w:rPr>
          <w:rFonts w:hint="eastAsia" w:ascii="宋体" w:hAnsi="宋体" w:cs="宋体"/>
          <w:color w:val="auto"/>
          <w:szCs w:val="21"/>
        </w:rPr>
        <w:t>为</w:t>
      </w:r>
      <w:r>
        <w:rPr>
          <w:rFonts w:hint="eastAsia" w:ascii="宋体" w:hAnsi="宋体" w:cs="宋体"/>
          <w:color w:val="auto"/>
          <w:szCs w:val="21"/>
          <w:u w:val="single"/>
        </w:rPr>
        <w:t xml:space="preserve">         </w:t>
      </w:r>
      <w:r>
        <w:rPr>
          <w:rFonts w:hint="eastAsia" w:ascii="宋体" w:hAnsi="宋体" w:cs="宋体"/>
          <w:color w:val="auto"/>
          <w:szCs w:val="21"/>
        </w:rPr>
        <w:t>，具有独立承担民事责任的能力。</w:t>
      </w:r>
    </w:p>
    <w:p>
      <w:pPr>
        <w:widowControl/>
        <w:adjustRightInd w:val="0"/>
        <w:snapToGrid w:val="0"/>
        <w:spacing w:before="156"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二、我单位未被</w:t>
      </w:r>
      <w:r>
        <w:rPr>
          <w:rFonts w:hint="eastAsia" w:ascii="华文中宋" w:hAnsi="华文中宋" w:eastAsia="华文中宋" w:cs="宋体"/>
          <w:color w:val="auto"/>
          <w:szCs w:val="21"/>
        </w:rPr>
        <w:t>“</w:t>
      </w:r>
      <w:r>
        <w:rPr>
          <w:rFonts w:hint="eastAsia" w:ascii="宋体" w:hAnsi="宋体" w:cs="宋体"/>
          <w:color w:val="auto"/>
          <w:szCs w:val="21"/>
        </w:rPr>
        <w:t>国家企业信用信息系统</w:t>
      </w:r>
      <w:r>
        <w:rPr>
          <w:rFonts w:hint="eastAsia" w:ascii="华文中宋" w:hAnsi="华文中宋" w:eastAsia="华文中宋" w:cs="宋体"/>
          <w:color w:val="auto"/>
          <w:szCs w:val="21"/>
        </w:rPr>
        <w:t>”</w:t>
      </w:r>
      <w:r>
        <w:rPr>
          <w:rFonts w:hint="eastAsia" w:ascii="宋体" w:hAnsi="宋体" w:cs="宋体"/>
          <w:color w:val="auto"/>
          <w:szCs w:val="21"/>
        </w:rPr>
        <w:t>列入经营异常名录或者严重违法企业名单。</w:t>
      </w:r>
    </w:p>
    <w:p>
      <w:pPr>
        <w:widowControl/>
        <w:adjustRightInd w:val="0"/>
        <w:snapToGrid w:val="0"/>
        <w:spacing w:before="156" w:beforeLines="50" w:line="360" w:lineRule="auto"/>
        <w:ind w:firstLine="420" w:firstLineChars="200"/>
        <w:jc w:val="left"/>
        <w:rPr>
          <w:rFonts w:ascii="宋体" w:hAnsi="宋体" w:cs="宋体"/>
          <w:color w:val="auto"/>
          <w:szCs w:val="21"/>
        </w:rPr>
      </w:pPr>
      <w:r>
        <w:rPr>
          <w:rFonts w:hint="eastAsia" w:ascii="宋体" w:hAnsi="宋体" w:cs="宋体"/>
          <w:color w:val="auto"/>
          <w:kern w:val="0"/>
          <w:szCs w:val="21"/>
        </w:rPr>
        <w:t>三、</w:t>
      </w:r>
      <w:r>
        <w:rPr>
          <w:rFonts w:hint="eastAsia" w:ascii="宋体" w:hAnsi="宋体" w:cs="宋体"/>
          <w:color w:val="auto"/>
          <w:szCs w:val="21"/>
        </w:rPr>
        <w:t>我单位具有良好的商业信誉和健全的财务会计制度。</w:t>
      </w:r>
    </w:p>
    <w:p>
      <w:pPr>
        <w:widowControl/>
        <w:adjustRightInd w:val="0"/>
        <w:snapToGrid w:val="0"/>
        <w:spacing w:before="156" w:beforeLines="5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四、我</w:t>
      </w:r>
      <w:r>
        <w:rPr>
          <w:rFonts w:hint="eastAsia" w:ascii="宋体" w:hAnsi="宋体" w:cs="宋体"/>
          <w:color w:val="auto"/>
          <w:szCs w:val="21"/>
        </w:rPr>
        <w:t>单位</w:t>
      </w:r>
      <w:r>
        <w:rPr>
          <w:rFonts w:hint="eastAsia" w:ascii="宋体" w:hAnsi="宋体" w:cs="宋体"/>
          <w:color w:val="auto"/>
          <w:kern w:val="0"/>
          <w:szCs w:val="21"/>
        </w:rPr>
        <w:t>依法进行纳税和社会保险申报并实际履行了义务。</w:t>
      </w:r>
    </w:p>
    <w:p>
      <w:pPr>
        <w:widowControl/>
        <w:adjustRightInd w:val="0"/>
        <w:snapToGrid w:val="0"/>
        <w:spacing w:before="156" w:beforeLines="50" w:line="360" w:lineRule="auto"/>
        <w:ind w:firstLine="420" w:firstLineChars="200"/>
        <w:jc w:val="left"/>
        <w:rPr>
          <w:rFonts w:ascii="宋体" w:hAnsi="宋体" w:cs="宋体"/>
          <w:color w:val="auto"/>
          <w:kern w:val="0"/>
          <w:szCs w:val="21"/>
        </w:rPr>
      </w:pPr>
      <w:r>
        <w:rPr>
          <w:rFonts w:hint="eastAsia" w:ascii="宋体" w:hAnsi="宋体" w:cs="宋体"/>
          <w:color w:val="auto"/>
          <w:szCs w:val="21"/>
        </w:rPr>
        <w:t>五、我单位具有履行本项目采购合同所必需的设备和专业技术能力，并具有履行合同的良好</w:t>
      </w:r>
      <w:r>
        <w:rPr>
          <w:rFonts w:ascii="宋体" w:hAnsi="宋体" w:eastAsia="宋体"/>
          <w:color w:val="auto"/>
          <w:szCs w:val="21"/>
        </w:rPr>
        <w:t>记录</w:t>
      </w:r>
      <w:r>
        <w:rPr>
          <w:rFonts w:hint="eastAsia" w:ascii="宋体" w:hAnsi="宋体" w:cs="宋体"/>
          <w:color w:val="auto"/>
          <w:szCs w:val="21"/>
        </w:rPr>
        <w:t>。</w:t>
      </w:r>
    </w:p>
    <w:p>
      <w:pPr>
        <w:widowControl/>
        <w:adjustRightInd w:val="0"/>
        <w:snapToGrid w:val="0"/>
        <w:spacing w:before="156"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pPr>
        <w:widowControl/>
        <w:adjustRightInd w:val="0"/>
        <w:snapToGrid w:val="0"/>
        <w:spacing w:before="156"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供应商在参加政府采购活动前3年内因违法经营被禁止在一定期限内参加政府采购活动，期限届满的，可以参加政府采购活动。</w:t>
      </w:r>
    </w:p>
    <w:p>
      <w:pPr>
        <w:widowControl/>
        <w:adjustRightInd w:val="0"/>
        <w:snapToGrid w:val="0"/>
        <w:spacing w:before="156"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七、我单位具备法律、行政法规规定的其他条件。</w:t>
      </w:r>
    </w:p>
    <w:p>
      <w:pPr>
        <w:widowControl/>
        <w:adjustRightInd w:val="0"/>
        <w:snapToGrid w:val="0"/>
        <w:spacing w:before="156" w:beforeLines="50" w:line="360" w:lineRule="auto"/>
        <w:ind w:firstLine="420" w:firstLineChars="200"/>
        <w:jc w:val="left"/>
        <w:rPr>
          <w:color w:val="auto"/>
          <w:szCs w:val="21"/>
        </w:rPr>
      </w:pPr>
      <w:r>
        <w:rPr>
          <w:rFonts w:hint="eastAsia" w:ascii="宋体" w:hAnsi="宋体" w:cs="宋体"/>
          <w:color w:val="auto"/>
          <w:kern w:val="0"/>
          <w:szCs w:val="21"/>
        </w:rPr>
        <w:t>八、</w:t>
      </w:r>
      <w:r>
        <w:rPr>
          <w:rFonts w:hint="eastAsia"/>
          <w:color w:val="auto"/>
          <w:szCs w:val="21"/>
        </w:rPr>
        <w:t>与我单位存在“单位负责人为同一人或者存在直接控股、管理关系”的其他单位信息如下（如无，填写“无”）：</w:t>
      </w:r>
    </w:p>
    <w:p>
      <w:pPr>
        <w:adjustRightInd w:val="0"/>
        <w:snapToGrid w:val="0"/>
        <w:spacing w:before="156" w:beforeLines="50" w:line="360" w:lineRule="auto"/>
        <w:ind w:firstLine="420" w:firstLineChars="200"/>
        <w:rPr>
          <w:color w:val="auto"/>
          <w:szCs w:val="21"/>
        </w:rPr>
      </w:pPr>
      <w:r>
        <w:rPr>
          <w:rFonts w:hint="eastAsia" w:ascii="宋体" w:hAnsi="宋体" w:eastAsia="宋体"/>
          <w:color w:val="auto"/>
          <w:szCs w:val="21"/>
        </w:rPr>
        <w:t>1、</w:t>
      </w:r>
      <w:r>
        <w:rPr>
          <w:rFonts w:hint="eastAsia"/>
          <w:color w:val="auto"/>
          <w:szCs w:val="21"/>
        </w:rPr>
        <w:t>与我单位的法定代表人（单位负责人）为同一人的其他单位如下：</w:t>
      </w:r>
      <w:r>
        <w:rPr>
          <w:rFonts w:hint="eastAsia" w:ascii="宋体" w:hAnsi="宋体" w:eastAsia="宋体"/>
          <w:color w:val="auto"/>
          <w:szCs w:val="21"/>
          <w:u w:val="single"/>
        </w:rPr>
        <w:t xml:space="preserve">               </w:t>
      </w:r>
    </w:p>
    <w:p>
      <w:pPr>
        <w:adjustRightInd w:val="0"/>
        <w:snapToGrid w:val="0"/>
        <w:spacing w:before="156" w:beforeLines="50" w:line="360" w:lineRule="auto"/>
        <w:ind w:firstLine="420" w:firstLineChars="200"/>
        <w:rPr>
          <w:rFonts w:ascii="宋体" w:hAnsi="宋体" w:eastAsia="宋体"/>
          <w:color w:val="auto"/>
          <w:szCs w:val="21"/>
        </w:rPr>
      </w:pPr>
      <w:r>
        <w:rPr>
          <w:rFonts w:hint="eastAsia" w:ascii="宋体" w:hAnsi="宋体" w:eastAsia="宋体"/>
          <w:color w:val="auto"/>
          <w:szCs w:val="21"/>
        </w:rPr>
        <w:t>2、我</w:t>
      </w:r>
      <w:r>
        <w:rPr>
          <w:rFonts w:hint="eastAsia"/>
          <w:color w:val="auto"/>
          <w:szCs w:val="21"/>
        </w:rPr>
        <w:t>单位</w:t>
      </w:r>
      <w:r>
        <w:rPr>
          <w:rFonts w:hint="eastAsia" w:ascii="宋体" w:hAnsi="宋体" w:eastAsia="宋体"/>
          <w:color w:val="auto"/>
          <w:szCs w:val="21"/>
        </w:rPr>
        <w:t>直接控股的其他单位如下：</w:t>
      </w:r>
      <w:r>
        <w:rPr>
          <w:rFonts w:hint="eastAsia" w:ascii="宋体" w:hAnsi="宋体" w:eastAsia="宋体"/>
          <w:color w:val="auto"/>
          <w:szCs w:val="21"/>
          <w:u w:val="single"/>
        </w:rPr>
        <w:t xml:space="preserve">               </w:t>
      </w:r>
    </w:p>
    <w:p>
      <w:pPr>
        <w:adjustRightInd w:val="0"/>
        <w:snapToGrid w:val="0"/>
        <w:spacing w:before="156" w:beforeLines="50" w:line="360" w:lineRule="auto"/>
        <w:ind w:firstLine="420" w:firstLineChars="200"/>
        <w:rPr>
          <w:color w:val="auto"/>
          <w:szCs w:val="21"/>
        </w:rPr>
      </w:pPr>
      <w:r>
        <w:rPr>
          <w:rFonts w:hint="eastAsia" w:ascii="宋体" w:hAnsi="宋体" w:eastAsia="宋体"/>
          <w:color w:val="auto"/>
          <w:szCs w:val="21"/>
        </w:rPr>
        <w:t>3、与我</w:t>
      </w:r>
      <w:r>
        <w:rPr>
          <w:rFonts w:hint="eastAsia"/>
          <w:color w:val="auto"/>
          <w:szCs w:val="21"/>
        </w:rPr>
        <w:t>单位存在</w:t>
      </w:r>
      <w:r>
        <w:rPr>
          <w:rFonts w:hint="eastAsia" w:ascii="宋体" w:hAnsi="宋体" w:eastAsia="宋体"/>
          <w:color w:val="auto"/>
          <w:szCs w:val="21"/>
        </w:rPr>
        <w:t>管理关系的其他单位如下：</w:t>
      </w:r>
      <w:r>
        <w:rPr>
          <w:rFonts w:hint="eastAsia" w:ascii="宋体" w:hAnsi="宋体" w:eastAsia="宋体"/>
          <w:color w:val="auto"/>
          <w:szCs w:val="21"/>
          <w:u w:val="single"/>
        </w:rPr>
        <w:t xml:space="preserve">               </w:t>
      </w:r>
    </w:p>
    <w:p>
      <w:pPr>
        <w:widowControl/>
        <w:adjustRightInd w:val="0"/>
        <w:snapToGrid w:val="0"/>
        <w:spacing w:before="156" w:beforeLines="50" w:line="360" w:lineRule="auto"/>
        <w:ind w:firstLine="420" w:firstLineChars="200"/>
        <w:jc w:val="left"/>
        <w:rPr>
          <w:color w:val="auto"/>
          <w:szCs w:val="21"/>
        </w:rPr>
      </w:pPr>
      <w:r>
        <w:rPr>
          <w:rFonts w:hint="eastAsia" w:ascii="宋体" w:hAnsi="宋体"/>
          <w:color w:val="auto"/>
          <w:szCs w:val="21"/>
        </w:rPr>
        <w:t>九、</w:t>
      </w:r>
      <w:r>
        <w:rPr>
          <w:rFonts w:ascii="宋体" w:hAnsi="宋体" w:eastAsia="宋体"/>
          <w:color w:val="auto"/>
          <w:szCs w:val="21"/>
        </w:rPr>
        <w:t>我</w:t>
      </w:r>
      <w:r>
        <w:rPr>
          <w:rFonts w:hint="eastAsia" w:ascii="宋体" w:hAnsi="宋体" w:eastAsia="宋体"/>
          <w:color w:val="auto"/>
          <w:szCs w:val="21"/>
        </w:rPr>
        <w:t>单位</w:t>
      </w:r>
      <w:r>
        <w:rPr>
          <w:rFonts w:ascii="宋体" w:hAnsi="宋体" w:eastAsia="宋体"/>
          <w:color w:val="auto"/>
          <w:szCs w:val="21"/>
        </w:rPr>
        <w:t>不属于为本项目提供整体设计、规范编制或者项目管理、监理、检测等服务的投标人。</w:t>
      </w:r>
    </w:p>
    <w:p>
      <w:pPr>
        <w:widowControl/>
        <w:adjustRightInd w:val="0"/>
        <w:snapToGrid w:val="0"/>
        <w:spacing w:before="156" w:beforeLines="50" w:line="360" w:lineRule="auto"/>
        <w:ind w:firstLine="420" w:firstLineChars="200"/>
        <w:jc w:val="left"/>
        <w:rPr>
          <w:rFonts w:ascii="宋体" w:hAnsi="宋体" w:eastAsia="宋体"/>
          <w:color w:val="auto"/>
          <w:szCs w:val="21"/>
        </w:rPr>
      </w:pPr>
      <w:r>
        <w:rPr>
          <w:rFonts w:hint="eastAsia" w:ascii="宋体" w:hAnsi="宋体" w:eastAsia="宋体"/>
          <w:color w:val="auto"/>
          <w:szCs w:val="21"/>
        </w:rPr>
        <w:t>十、</w:t>
      </w:r>
      <w:r>
        <w:rPr>
          <w:rFonts w:ascii="宋体" w:hAnsi="宋体" w:eastAsia="宋体"/>
          <w:color w:val="auto"/>
          <w:szCs w:val="21"/>
        </w:rPr>
        <w:t>我单位无以下不良信用记录情形：</w:t>
      </w:r>
    </w:p>
    <w:p>
      <w:pPr>
        <w:widowControl/>
        <w:adjustRightInd w:val="0"/>
        <w:snapToGrid w:val="0"/>
        <w:spacing w:before="156" w:beforeLines="50" w:line="360" w:lineRule="auto"/>
        <w:ind w:firstLine="420" w:firstLineChars="200"/>
        <w:jc w:val="left"/>
        <w:rPr>
          <w:rFonts w:ascii="宋体" w:hAnsi="宋体" w:eastAsia="宋体"/>
          <w:color w:val="auto"/>
          <w:szCs w:val="21"/>
        </w:rPr>
      </w:pPr>
      <w:r>
        <w:rPr>
          <w:rFonts w:ascii="宋体" w:hAnsi="宋体" w:eastAsia="宋体"/>
          <w:color w:val="auto"/>
          <w:szCs w:val="21"/>
        </w:rPr>
        <w:t>1</w:t>
      </w:r>
      <w:r>
        <w:rPr>
          <w:rFonts w:hint="eastAsia" w:ascii="宋体" w:hAnsi="宋体" w:eastAsia="宋体"/>
          <w:color w:val="auto"/>
          <w:szCs w:val="21"/>
        </w:rPr>
        <w:t>、在</w:t>
      </w:r>
      <w:r>
        <w:rPr>
          <w:rFonts w:hint="eastAsia" w:ascii="宋体" w:hAnsi="宋体" w:cs="宋体"/>
          <w:color w:val="auto"/>
          <w:szCs w:val="21"/>
        </w:rPr>
        <w:t>“信用中国”网站被列入失信被执行人和重大税收违法案件当事人名单；</w:t>
      </w:r>
    </w:p>
    <w:p>
      <w:pPr>
        <w:widowControl/>
        <w:adjustRightInd w:val="0"/>
        <w:snapToGrid w:val="0"/>
        <w:spacing w:before="156" w:beforeLines="50" w:line="360" w:lineRule="auto"/>
        <w:ind w:firstLine="420" w:firstLineChars="200"/>
        <w:jc w:val="left"/>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、在</w:t>
      </w:r>
      <w:r>
        <w:rPr>
          <w:rFonts w:hint="eastAsia" w:ascii="宋体" w:hAnsi="宋体" w:cs="宋体"/>
          <w:color w:val="auto"/>
          <w:szCs w:val="21"/>
        </w:rPr>
        <w:t>“中国政府采购网”网站被列入政府采购严重违法失信行为记录名单；</w:t>
      </w:r>
    </w:p>
    <w:p>
      <w:pPr>
        <w:widowControl/>
        <w:adjustRightInd w:val="0"/>
        <w:snapToGrid w:val="0"/>
        <w:spacing w:before="156" w:beforeLines="50" w:line="360" w:lineRule="auto"/>
        <w:ind w:firstLine="420" w:firstLineChars="200"/>
        <w:jc w:val="left"/>
        <w:rPr>
          <w:rFonts w:ascii="宋体" w:hAnsi="宋体" w:eastAsia="宋体"/>
          <w:color w:val="auto"/>
          <w:szCs w:val="21"/>
        </w:rPr>
      </w:pPr>
      <w:r>
        <w:rPr>
          <w:rFonts w:ascii="宋体" w:hAnsi="宋体" w:eastAsia="宋体"/>
          <w:color w:val="auto"/>
          <w:szCs w:val="21"/>
        </w:rPr>
        <w:t>3</w:t>
      </w:r>
      <w:r>
        <w:rPr>
          <w:rFonts w:hint="eastAsia" w:ascii="宋体" w:hAnsi="宋体" w:eastAsia="宋体"/>
          <w:color w:val="auto"/>
          <w:szCs w:val="21"/>
        </w:rPr>
        <w:t>、</w:t>
      </w:r>
      <w:r>
        <w:rPr>
          <w:rFonts w:ascii="宋体" w:hAnsi="宋体" w:eastAsia="宋体"/>
          <w:color w:val="auto"/>
          <w:szCs w:val="21"/>
        </w:rPr>
        <w:t>不符合《政府采购法》第二十二条规定的条件。</w:t>
      </w:r>
    </w:p>
    <w:p>
      <w:pPr>
        <w:widowControl/>
        <w:adjustRightInd w:val="0"/>
        <w:snapToGrid w:val="0"/>
        <w:spacing w:before="156" w:beforeLines="50" w:line="360" w:lineRule="auto"/>
        <w:ind w:firstLine="420" w:firstLineChars="200"/>
        <w:jc w:val="left"/>
        <w:rPr>
          <w:rFonts w:ascii="宋体" w:hAnsi="宋体" w:cs="宋体"/>
          <w:color w:val="auto"/>
          <w:kern w:val="0"/>
          <w:szCs w:val="21"/>
        </w:rPr>
      </w:pPr>
      <w:r>
        <w:rPr>
          <w:rFonts w:hint="eastAsia" w:ascii="宋体" w:hAnsi="宋体" w:cs="宋体"/>
          <w:color w:val="auto"/>
          <w:szCs w:val="21"/>
        </w:rPr>
        <w:t>我单位保证上述声明的事项都是真实的，如有虚假，我单位愿意承担相应的法律责任，并承担因此所造成的一切损失。</w:t>
      </w:r>
    </w:p>
    <w:p>
      <w:pPr>
        <w:widowControl/>
        <w:adjustRightInd w:val="0"/>
        <w:snapToGrid w:val="0"/>
        <w:spacing w:before="156" w:beforeLines="50" w:line="360" w:lineRule="auto"/>
        <w:jc w:val="left"/>
        <w:rPr>
          <w:rFonts w:ascii="宋体" w:hAnsi="宋体" w:cs="宋体"/>
          <w:color w:val="auto"/>
          <w:szCs w:val="21"/>
        </w:rPr>
      </w:pPr>
    </w:p>
    <w:p>
      <w:pPr>
        <w:widowControl/>
        <w:adjustRightInd w:val="0"/>
        <w:snapToGrid w:val="0"/>
        <w:spacing w:before="156" w:beforeLines="50" w:line="360" w:lineRule="auto"/>
        <w:jc w:val="left"/>
        <w:rPr>
          <w:rFonts w:ascii="宋体" w:hAnsi="宋体" w:cs="宋体"/>
          <w:color w:val="auto"/>
          <w:szCs w:val="21"/>
        </w:rPr>
      </w:pPr>
      <w:r>
        <w:rPr>
          <w:rFonts w:hint="eastAsia" w:ascii="宋体" w:hAnsi="宋体" w:eastAsia="宋体" w:cs="宋体"/>
          <w:color w:val="auto"/>
          <w:szCs w:val="21"/>
        </w:rPr>
        <w:t>注：第三条“良好的商业信誉”是指投标人经营状况良好，无本资格声明第十条情形。</w:t>
      </w:r>
    </w:p>
    <w:p>
      <w:pPr>
        <w:widowControl/>
        <w:adjustRightInd w:val="0"/>
        <w:snapToGrid w:val="0"/>
        <w:spacing w:before="156" w:beforeLines="50" w:line="360" w:lineRule="auto"/>
        <w:jc w:val="left"/>
        <w:rPr>
          <w:rFonts w:ascii="宋体" w:hAnsi="宋体" w:cs="宋体"/>
          <w:color w:val="auto"/>
          <w:szCs w:val="21"/>
        </w:rPr>
      </w:pPr>
    </w:p>
    <w:p>
      <w:pPr>
        <w:widowControl/>
        <w:adjustRightInd w:val="0"/>
        <w:snapToGrid w:val="0"/>
        <w:spacing w:line="360" w:lineRule="auto"/>
        <w:jc w:val="left"/>
        <w:rPr>
          <w:rFonts w:ascii="宋体" w:hAnsi="宋体" w:cs="宋体"/>
          <w:color w:val="auto"/>
          <w:kern w:val="0"/>
          <w:szCs w:val="21"/>
        </w:rPr>
      </w:pPr>
      <w:r>
        <w:rPr>
          <w:rFonts w:hint="eastAsia" w:ascii="宋体" w:hAnsi="宋体" w:cs="宋体"/>
          <w:color w:val="auto"/>
          <w:szCs w:val="21"/>
        </w:rPr>
        <w:t>投标人名称（盖单位公章）：</w:t>
      </w:r>
    </w:p>
    <w:p>
      <w:pPr>
        <w:widowControl/>
        <w:adjustRightInd w:val="0"/>
        <w:snapToGrid w:val="0"/>
        <w:spacing w:line="360" w:lineRule="auto"/>
        <w:jc w:val="left"/>
        <w:rPr>
          <w:rFonts w:ascii="宋体" w:hAnsi="宋体" w:cs="宋体"/>
          <w:b/>
          <w:bCs/>
          <w:color w:val="auto"/>
          <w:kern w:val="0"/>
          <w:sz w:val="44"/>
          <w:szCs w:val="44"/>
        </w:rPr>
      </w:pPr>
      <w:r>
        <w:rPr>
          <w:rFonts w:hint="eastAsia" w:ascii="宋体" w:hAnsi="宋体" w:eastAsia="宋体" w:cs="微软雅黑"/>
          <w:color w:val="auto"/>
          <w:spacing w:val="-2"/>
          <w:kern w:val="0"/>
          <w:szCs w:val="21"/>
        </w:rPr>
        <w:t>法</w:t>
      </w:r>
      <w:r>
        <w:rPr>
          <w:rFonts w:hint="eastAsia" w:ascii="宋体" w:hAnsi="宋体" w:eastAsia="宋体" w:cs="微软雅黑"/>
          <w:color w:val="auto"/>
          <w:kern w:val="0"/>
          <w:szCs w:val="21"/>
        </w:rPr>
        <w:t>定</w:t>
      </w:r>
      <w:r>
        <w:rPr>
          <w:rFonts w:hint="eastAsia" w:ascii="宋体" w:hAnsi="宋体" w:eastAsia="宋体" w:cs="微软雅黑"/>
          <w:color w:val="auto"/>
          <w:spacing w:val="-2"/>
          <w:kern w:val="0"/>
          <w:szCs w:val="21"/>
        </w:rPr>
        <w:t>代</w:t>
      </w:r>
      <w:r>
        <w:rPr>
          <w:rFonts w:hint="eastAsia" w:ascii="宋体" w:hAnsi="宋体" w:eastAsia="宋体" w:cs="微软雅黑"/>
          <w:color w:val="auto"/>
          <w:kern w:val="0"/>
          <w:szCs w:val="21"/>
        </w:rPr>
        <w:t>表</w:t>
      </w:r>
      <w:r>
        <w:rPr>
          <w:rFonts w:hint="eastAsia" w:ascii="宋体" w:hAnsi="宋体" w:eastAsia="宋体" w:cs="微软雅黑"/>
          <w:color w:val="auto"/>
          <w:spacing w:val="-2"/>
          <w:kern w:val="0"/>
          <w:szCs w:val="21"/>
        </w:rPr>
        <w:t>人</w:t>
      </w:r>
      <w:r>
        <w:rPr>
          <w:rFonts w:hint="eastAsia" w:ascii="宋体" w:hAnsi="宋体" w:eastAsia="宋体" w:cs="微软雅黑"/>
          <w:color w:val="auto"/>
          <w:kern w:val="0"/>
          <w:szCs w:val="21"/>
        </w:rPr>
        <w:t>（</w:t>
      </w:r>
      <w:r>
        <w:rPr>
          <w:rFonts w:hint="eastAsia" w:ascii="宋体" w:hAnsi="宋体" w:eastAsia="宋体" w:cs="微软雅黑"/>
          <w:color w:val="auto"/>
          <w:spacing w:val="-2"/>
          <w:kern w:val="0"/>
          <w:szCs w:val="21"/>
        </w:rPr>
        <w:t>单</w:t>
      </w:r>
      <w:r>
        <w:rPr>
          <w:rFonts w:hint="eastAsia" w:ascii="宋体" w:hAnsi="宋体" w:eastAsia="宋体" w:cs="微软雅黑"/>
          <w:color w:val="auto"/>
          <w:kern w:val="0"/>
          <w:szCs w:val="21"/>
        </w:rPr>
        <w:t>位</w:t>
      </w:r>
      <w:r>
        <w:rPr>
          <w:rFonts w:hint="eastAsia" w:ascii="宋体" w:hAnsi="宋体" w:eastAsia="宋体" w:cs="微软雅黑"/>
          <w:color w:val="auto"/>
          <w:spacing w:val="-2"/>
          <w:kern w:val="0"/>
          <w:szCs w:val="21"/>
        </w:rPr>
        <w:t>负</w:t>
      </w:r>
      <w:r>
        <w:rPr>
          <w:rFonts w:hint="eastAsia" w:ascii="宋体" w:hAnsi="宋体" w:eastAsia="宋体" w:cs="微软雅黑"/>
          <w:color w:val="auto"/>
          <w:kern w:val="0"/>
          <w:szCs w:val="21"/>
        </w:rPr>
        <w:t>责人</w:t>
      </w:r>
      <w:r>
        <w:rPr>
          <w:rFonts w:hint="eastAsia" w:ascii="宋体" w:hAnsi="宋体" w:eastAsia="宋体" w:cs="微软雅黑"/>
          <w:color w:val="auto"/>
          <w:spacing w:val="-2"/>
          <w:kern w:val="0"/>
          <w:szCs w:val="21"/>
        </w:rPr>
        <w:t>）</w:t>
      </w:r>
      <w:r>
        <w:rPr>
          <w:rFonts w:hint="eastAsia" w:ascii="宋体" w:hAnsi="宋体" w:eastAsia="宋体"/>
          <w:color w:val="auto"/>
        </w:rPr>
        <w:t>或委托代理人：</w:t>
      </w:r>
      <w:r>
        <w:rPr>
          <w:rFonts w:hint="eastAsia" w:ascii="宋体" w:hAnsi="宋体" w:eastAsia="宋体"/>
          <w:color w:val="auto"/>
          <w:u w:val="single"/>
        </w:rPr>
        <w:t xml:space="preserve">       </w:t>
      </w:r>
      <w:r>
        <w:rPr>
          <w:rFonts w:hint="eastAsia" w:ascii="宋体" w:hAnsi="宋体" w:eastAsia="宋体"/>
          <w:color w:val="auto"/>
        </w:rPr>
        <w:t>（签字或印章）</w:t>
      </w:r>
    </w:p>
    <w:p>
      <w:pPr>
        <w:widowControl/>
        <w:adjustRightInd w:val="0"/>
        <w:snapToGrid w:val="0"/>
        <w:spacing w:line="360" w:lineRule="auto"/>
        <w:jc w:val="left"/>
        <w:rPr>
          <w:rFonts w:ascii="宋体" w:hAnsi="宋体" w:eastAsia="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adjustRightInd w:val="0"/>
        <w:snapToGrid w:val="0"/>
        <w:spacing w:line="360" w:lineRule="auto"/>
        <w:rPr>
          <w:rFonts w:hint="eastAsia" w:ascii="宋体" w:hAnsi="宋体" w:eastAsia="宋体" w:cs="宋体"/>
          <w:color w:val="auto"/>
          <w:kern w:val="0"/>
          <w:sz w:val="18"/>
          <w:szCs w:val="18"/>
          <w:lang w:val="en-US" w:eastAsia="zh-CN" w:bidi="ar"/>
        </w:rPr>
      </w:pPr>
    </w:p>
    <w:p>
      <w:pPr>
        <w:adjustRightInd w:val="0"/>
        <w:snapToGrid w:val="0"/>
        <w:spacing w:line="360" w:lineRule="auto"/>
        <w:rPr>
          <w:rFonts w:hint="eastAsia" w:ascii="宋体" w:hAnsi="宋体" w:eastAsia="宋体" w:cs="宋体"/>
          <w:color w:val="auto"/>
          <w:kern w:val="0"/>
          <w:sz w:val="18"/>
          <w:szCs w:val="18"/>
          <w:lang w:val="en-US" w:eastAsia="zh-CN" w:bidi="ar"/>
        </w:rPr>
      </w:pPr>
    </w:p>
    <w:p>
      <w:pPr>
        <w:pStyle w:val="18"/>
        <w:rPr>
          <w:rFonts w:hint="eastAsia" w:ascii="宋体" w:hAnsi="宋体" w:eastAsia="宋体" w:cs="宋体"/>
          <w:color w:val="auto"/>
          <w:kern w:val="0"/>
          <w:sz w:val="18"/>
          <w:szCs w:val="18"/>
          <w:lang w:val="en-US" w:eastAsia="zh-CN" w:bidi="ar"/>
        </w:rPr>
      </w:pPr>
    </w:p>
    <w:p>
      <w:pPr>
        <w:pStyle w:val="8"/>
        <w:rPr>
          <w:rFonts w:hint="eastAsia" w:ascii="宋体" w:hAnsi="宋体" w:eastAsia="宋体" w:cs="宋体"/>
          <w:color w:val="auto"/>
          <w:kern w:val="0"/>
          <w:sz w:val="18"/>
          <w:szCs w:val="18"/>
          <w:lang w:val="en-US" w:eastAsia="zh-CN" w:bidi="ar"/>
        </w:rPr>
      </w:pPr>
    </w:p>
    <w:p>
      <w:pPr>
        <w:pStyle w:val="3"/>
        <w:rPr>
          <w:rFonts w:hint="eastAsia" w:ascii="宋体" w:hAnsi="宋体" w:eastAsia="宋体" w:cs="宋体"/>
          <w:color w:val="auto"/>
          <w:kern w:val="0"/>
          <w:sz w:val="18"/>
          <w:szCs w:val="18"/>
          <w:lang w:val="en-US" w:eastAsia="zh-CN" w:bidi="ar"/>
        </w:rPr>
      </w:pPr>
    </w:p>
    <w:p>
      <w:pPr>
        <w:pStyle w:val="3"/>
        <w:rPr>
          <w:rFonts w:hint="eastAsia" w:ascii="宋体" w:hAnsi="宋体" w:eastAsia="宋体" w:cs="宋体"/>
          <w:color w:val="auto"/>
          <w:kern w:val="0"/>
          <w:sz w:val="18"/>
          <w:szCs w:val="18"/>
          <w:lang w:val="en-US" w:eastAsia="zh-CN" w:bidi="ar"/>
        </w:rPr>
      </w:pPr>
    </w:p>
    <w:p>
      <w:pPr>
        <w:pStyle w:val="3"/>
        <w:rPr>
          <w:rFonts w:hint="eastAsia" w:ascii="宋体" w:hAnsi="宋体" w:eastAsia="宋体" w:cs="宋体"/>
          <w:color w:val="auto"/>
          <w:kern w:val="0"/>
          <w:sz w:val="18"/>
          <w:szCs w:val="18"/>
          <w:lang w:val="en-US" w:eastAsia="zh-CN" w:bidi="ar"/>
        </w:rPr>
      </w:pPr>
    </w:p>
    <w:p>
      <w:pPr>
        <w:pStyle w:val="3"/>
        <w:rPr>
          <w:rFonts w:hint="eastAsia" w:ascii="宋体" w:hAnsi="宋体" w:eastAsia="宋体" w:cs="宋体"/>
          <w:color w:val="auto"/>
          <w:kern w:val="0"/>
          <w:sz w:val="18"/>
          <w:szCs w:val="18"/>
          <w:lang w:val="en-US" w:eastAsia="zh-CN" w:bidi="ar"/>
        </w:rPr>
      </w:pPr>
    </w:p>
    <w:p>
      <w:pPr>
        <w:pStyle w:val="3"/>
        <w:rPr>
          <w:rFonts w:hint="eastAsia" w:ascii="宋体" w:hAnsi="宋体" w:eastAsia="宋体" w:cs="宋体"/>
          <w:color w:val="auto"/>
          <w:kern w:val="0"/>
          <w:sz w:val="18"/>
          <w:szCs w:val="18"/>
          <w:lang w:val="en-US" w:eastAsia="zh-CN" w:bidi="ar"/>
        </w:rPr>
      </w:pPr>
    </w:p>
    <w:p>
      <w:pPr>
        <w:pStyle w:val="3"/>
        <w:rPr>
          <w:rFonts w:hint="eastAsia" w:ascii="宋体" w:hAnsi="宋体" w:eastAsia="宋体" w:cs="宋体"/>
          <w:color w:val="auto"/>
          <w:kern w:val="0"/>
          <w:sz w:val="18"/>
          <w:szCs w:val="18"/>
          <w:lang w:val="en-US" w:eastAsia="zh-CN" w:bidi="ar"/>
        </w:rPr>
      </w:pPr>
    </w:p>
    <w:p>
      <w:pPr>
        <w:pStyle w:val="3"/>
        <w:rPr>
          <w:rFonts w:hint="eastAsia" w:ascii="宋体" w:hAnsi="宋体" w:eastAsia="宋体" w:cs="宋体"/>
          <w:color w:val="auto"/>
          <w:kern w:val="0"/>
          <w:sz w:val="18"/>
          <w:szCs w:val="18"/>
          <w:lang w:val="en-US" w:eastAsia="zh-CN" w:bidi="ar"/>
        </w:rPr>
      </w:pPr>
    </w:p>
    <w:p>
      <w:pPr>
        <w:pStyle w:val="3"/>
        <w:rPr>
          <w:rFonts w:hint="eastAsia" w:ascii="宋体" w:hAnsi="宋体" w:eastAsia="宋体" w:cs="宋体"/>
          <w:color w:val="auto"/>
          <w:kern w:val="0"/>
          <w:sz w:val="18"/>
          <w:szCs w:val="18"/>
          <w:lang w:val="en-US" w:eastAsia="zh-CN" w:bidi="ar"/>
        </w:rPr>
      </w:pPr>
    </w:p>
    <w:p>
      <w:pPr>
        <w:pStyle w:val="3"/>
        <w:rPr>
          <w:rFonts w:hint="eastAsia" w:ascii="宋体" w:hAnsi="宋体" w:eastAsia="宋体" w:cs="宋体"/>
          <w:color w:val="auto"/>
          <w:kern w:val="0"/>
          <w:sz w:val="18"/>
          <w:szCs w:val="18"/>
          <w:lang w:val="en-US" w:eastAsia="zh-CN" w:bidi="ar"/>
        </w:rPr>
      </w:pPr>
    </w:p>
    <w:p>
      <w:pPr>
        <w:pStyle w:val="3"/>
        <w:rPr>
          <w:rFonts w:hint="eastAsia" w:ascii="宋体" w:hAnsi="宋体" w:eastAsia="宋体" w:cs="宋体"/>
          <w:color w:val="auto"/>
          <w:kern w:val="0"/>
          <w:sz w:val="18"/>
          <w:szCs w:val="18"/>
          <w:lang w:val="en-US" w:eastAsia="zh-CN" w:bidi="ar"/>
        </w:rPr>
      </w:pPr>
    </w:p>
    <w:p>
      <w:pPr>
        <w:pStyle w:val="3"/>
        <w:rPr>
          <w:rFonts w:hint="eastAsia" w:ascii="宋体" w:hAnsi="宋体" w:eastAsia="宋体" w:cs="宋体"/>
          <w:color w:val="auto"/>
          <w:kern w:val="0"/>
          <w:sz w:val="18"/>
          <w:szCs w:val="18"/>
          <w:lang w:val="en-US" w:eastAsia="zh-CN" w:bidi="ar"/>
        </w:rPr>
      </w:pPr>
    </w:p>
    <w:p>
      <w:pPr>
        <w:pStyle w:val="3"/>
        <w:rPr>
          <w:rFonts w:hint="eastAsia" w:ascii="宋体" w:hAnsi="宋体" w:eastAsia="宋体" w:cs="宋体"/>
          <w:color w:val="auto"/>
          <w:kern w:val="0"/>
          <w:sz w:val="18"/>
          <w:szCs w:val="18"/>
          <w:lang w:val="en-US" w:eastAsia="zh-CN" w:bidi="ar"/>
        </w:rPr>
      </w:pPr>
    </w:p>
    <w:p>
      <w:pPr>
        <w:pStyle w:val="3"/>
        <w:rPr>
          <w:rFonts w:hint="eastAsia" w:ascii="宋体" w:hAnsi="宋体" w:eastAsia="宋体" w:cs="宋体"/>
          <w:color w:val="auto"/>
          <w:kern w:val="0"/>
          <w:sz w:val="18"/>
          <w:szCs w:val="18"/>
          <w:lang w:val="en-US" w:eastAsia="zh-CN" w:bidi="ar"/>
        </w:rPr>
      </w:pPr>
    </w:p>
    <w:p>
      <w:pPr>
        <w:pStyle w:val="3"/>
        <w:rPr>
          <w:rFonts w:hint="eastAsia" w:ascii="宋体" w:hAnsi="宋体" w:eastAsia="宋体" w:cs="宋体"/>
          <w:color w:val="auto"/>
          <w:kern w:val="0"/>
          <w:sz w:val="18"/>
          <w:szCs w:val="18"/>
          <w:lang w:val="en-US" w:eastAsia="zh-CN" w:bidi="ar"/>
        </w:rPr>
      </w:pPr>
    </w:p>
    <w:p>
      <w:pPr>
        <w:pStyle w:val="3"/>
        <w:rPr>
          <w:rFonts w:hint="eastAsia" w:ascii="宋体" w:hAnsi="宋体" w:eastAsia="宋体" w:cs="宋体"/>
          <w:color w:val="auto"/>
          <w:kern w:val="0"/>
          <w:sz w:val="18"/>
          <w:szCs w:val="18"/>
          <w:lang w:val="en-US" w:eastAsia="zh-CN" w:bidi="ar"/>
        </w:rPr>
      </w:pPr>
    </w:p>
    <w:p>
      <w:pPr>
        <w:adjustRightInd w:val="0"/>
        <w:snapToGrid w:val="0"/>
        <w:spacing w:line="360" w:lineRule="auto"/>
        <w:rPr>
          <w:rFonts w:hint="eastAsia" w:ascii="黑体" w:eastAsia="黑体"/>
          <w:b/>
          <w:color w:val="auto"/>
          <w:sz w:val="30"/>
          <w:szCs w:val="30"/>
        </w:rPr>
      </w:pPr>
      <w:r>
        <w:rPr>
          <w:rFonts w:hint="eastAsia" w:ascii="黑体" w:eastAsia="黑体"/>
          <w:b/>
          <w:color w:val="auto"/>
          <w:sz w:val="30"/>
          <w:szCs w:val="30"/>
        </w:rPr>
        <w:t>附件</w:t>
      </w:r>
      <w:r>
        <w:rPr>
          <w:rFonts w:hint="eastAsia" w:ascii="黑体" w:eastAsia="黑体"/>
          <w:b/>
          <w:color w:val="auto"/>
          <w:sz w:val="30"/>
          <w:szCs w:val="30"/>
          <w:lang w:val="en-US" w:eastAsia="zh-CN"/>
        </w:rPr>
        <w:t>7</w:t>
      </w:r>
      <w:r>
        <w:rPr>
          <w:rFonts w:hint="eastAsia" w:ascii="黑体" w:eastAsia="黑体"/>
          <w:b/>
          <w:color w:val="auto"/>
          <w:sz w:val="30"/>
          <w:szCs w:val="30"/>
        </w:rPr>
        <w:t xml:space="preserve">           其他证明资料或说明</w:t>
      </w:r>
    </w:p>
    <w:p>
      <w:pPr>
        <w:adjustRightInd w:val="0"/>
        <w:snapToGrid w:val="0"/>
        <w:spacing w:line="360" w:lineRule="auto"/>
        <w:rPr>
          <w:rFonts w:hint="eastAsia" w:ascii="黑体" w:eastAsia="黑体"/>
          <w:b/>
          <w:color w:val="auto"/>
          <w:sz w:val="32"/>
          <w:szCs w:val="32"/>
        </w:rPr>
      </w:pPr>
      <w:r>
        <w:rPr>
          <w:rFonts w:hint="eastAsia" w:ascii="宋体" w:hAnsi="宋体"/>
          <w:color w:val="auto"/>
          <w:szCs w:val="21"/>
        </w:rPr>
        <w:t>提供磋商文件或评分标准需要提供的相关证明文件复印件</w:t>
      </w:r>
    </w:p>
    <w:p>
      <w:pPr>
        <w:adjustRightInd w:val="0"/>
        <w:snapToGrid w:val="0"/>
        <w:spacing w:line="360" w:lineRule="auto"/>
        <w:ind w:firstLine="1928" w:firstLineChars="600"/>
        <w:rPr>
          <w:rFonts w:hint="eastAsia" w:ascii="黑体" w:eastAsia="黑体"/>
          <w:b/>
          <w:color w:val="auto"/>
          <w:sz w:val="32"/>
          <w:szCs w:val="32"/>
        </w:rPr>
      </w:pPr>
    </w:p>
    <w:p>
      <w:pPr>
        <w:adjustRightInd w:val="0"/>
        <w:snapToGrid w:val="0"/>
        <w:spacing w:line="360" w:lineRule="auto"/>
        <w:ind w:firstLine="1928" w:firstLineChars="600"/>
        <w:rPr>
          <w:rFonts w:hint="eastAsia" w:ascii="黑体" w:eastAsia="黑体"/>
          <w:b/>
          <w:color w:val="auto"/>
          <w:sz w:val="32"/>
          <w:szCs w:val="32"/>
        </w:rPr>
      </w:pPr>
    </w:p>
    <w:p>
      <w:pPr>
        <w:adjustRightInd w:val="0"/>
        <w:snapToGrid w:val="0"/>
        <w:spacing w:line="360" w:lineRule="auto"/>
        <w:ind w:firstLine="1928" w:firstLineChars="600"/>
        <w:rPr>
          <w:rFonts w:hint="eastAsia" w:ascii="黑体" w:eastAsia="黑体"/>
          <w:b/>
          <w:color w:val="auto"/>
          <w:sz w:val="32"/>
          <w:szCs w:val="32"/>
        </w:rPr>
      </w:pPr>
    </w:p>
    <w:p>
      <w:pPr>
        <w:adjustRightInd w:val="0"/>
        <w:snapToGrid w:val="0"/>
        <w:spacing w:line="360" w:lineRule="auto"/>
        <w:ind w:firstLine="1928" w:firstLineChars="600"/>
        <w:rPr>
          <w:rFonts w:hint="eastAsia" w:ascii="黑体" w:eastAsia="黑体"/>
          <w:b/>
          <w:color w:val="auto"/>
          <w:sz w:val="32"/>
          <w:szCs w:val="32"/>
        </w:rPr>
      </w:pPr>
    </w:p>
    <w:p>
      <w:pPr>
        <w:adjustRightInd w:val="0"/>
        <w:snapToGrid w:val="0"/>
        <w:spacing w:line="360" w:lineRule="auto"/>
        <w:ind w:firstLine="1928" w:firstLineChars="600"/>
        <w:rPr>
          <w:rFonts w:hint="eastAsia" w:ascii="黑体" w:eastAsia="黑体"/>
          <w:b/>
          <w:color w:val="auto"/>
          <w:sz w:val="32"/>
          <w:szCs w:val="32"/>
        </w:rPr>
      </w:pPr>
    </w:p>
    <w:p>
      <w:pPr>
        <w:adjustRightInd w:val="0"/>
        <w:snapToGrid w:val="0"/>
        <w:spacing w:line="360" w:lineRule="auto"/>
        <w:ind w:firstLine="1928" w:firstLineChars="600"/>
        <w:rPr>
          <w:rFonts w:hint="eastAsia" w:ascii="黑体" w:eastAsia="黑体"/>
          <w:b/>
          <w:color w:val="auto"/>
          <w:sz w:val="32"/>
          <w:szCs w:val="32"/>
        </w:rPr>
      </w:pPr>
    </w:p>
    <w:p>
      <w:pPr>
        <w:adjustRightInd w:val="0"/>
        <w:snapToGrid w:val="0"/>
        <w:spacing w:line="360" w:lineRule="auto"/>
        <w:ind w:firstLine="1928" w:firstLineChars="600"/>
        <w:rPr>
          <w:rFonts w:hint="eastAsia" w:ascii="黑体" w:eastAsia="黑体"/>
          <w:b/>
          <w:color w:val="auto"/>
          <w:sz w:val="32"/>
          <w:szCs w:val="32"/>
        </w:rPr>
      </w:pPr>
    </w:p>
    <w:p>
      <w:pPr>
        <w:adjustRightInd w:val="0"/>
        <w:snapToGrid w:val="0"/>
        <w:spacing w:line="360" w:lineRule="auto"/>
        <w:ind w:firstLine="1928" w:firstLineChars="600"/>
        <w:rPr>
          <w:rFonts w:hint="eastAsia" w:ascii="黑体" w:eastAsia="黑体"/>
          <w:b/>
          <w:color w:val="auto"/>
          <w:sz w:val="32"/>
          <w:szCs w:val="32"/>
        </w:rPr>
      </w:pPr>
    </w:p>
    <w:p>
      <w:pPr>
        <w:adjustRightInd w:val="0"/>
        <w:snapToGrid w:val="0"/>
        <w:spacing w:line="360" w:lineRule="auto"/>
        <w:ind w:firstLine="1928" w:firstLineChars="600"/>
        <w:rPr>
          <w:rFonts w:hint="eastAsia" w:ascii="黑体" w:eastAsia="黑体"/>
          <w:b/>
          <w:color w:val="auto"/>
          <w:sz w:val="32"/>
          <w:szCs w:val="32"/>
        </w:rPr>
      </w:pPr>
    </w:p>
    <w:p>
      <w:pPr>
        <w:adjustRightInd w:val="0"/>
        <w:snapToGrid w:val="0"/>
        <w:spacing w:line="360" w:lineRule="auto"/>
        <w:ind w:firstLine="1928" w:firstLineChars="600"/>
        <w:rPr>
          <w:rFonts w:hint="eastAsia" w:ascii="黑体" w:eastAsia="黑体"/>
          <w:b/>
          <w:color w:val="auto"/>
          <w:sz w:val="32"/>
          <w:szCs w:val="32"/>
        </w:rPr>
      </w:pPr>
    </w:p>
    <w:p>
      <w:pPr>
        <w:pStyle w:val="18"/>
        <w:rPr>
          <w:rFonts w:hint="eastAsia" w:ascii="黑体" w:eastAsia="黑体"/>
          <w:b/>
          <w:color w:val="auto"/>
          <w:sz w:val="32"/>
          <w:szCs w:val="32"/>
        </w:rPr>
      </w:pPr>
    </w:p>
    <w:p>
      <w:pPr>
        <w:pStyle w:val="8"/>
        <w:rPr>
          <w:rFonts w:hint="eastAsia" w:ascii="黑体" w:eastAsia="黑体"/>
          <w:b/>
          <w:color w:val="auto"/>
          <w:sz w:val="32"/>
          <w:szCs w:val="32"/>
        </w:rPr>
      </w:pPr>
    </w:p>
    <w:p>
      <w:pPr>
        <w:pStyle w:val="3"/>
        <w:rPr>
          <w:rFonts w:hint="eastAsia" w:ascii="黑体" w:eastAsia="黑体"/>
          <w:b/>
          <w:color w:val="auto"/>
          <w:sz w:val="32"/>
          <w:szCs w:val="32"/>
        </w:rPr>
      </w:pPr>
    </w:p>
    <w:p>
      <w:pPr>
        <w:pStyle w:val="4"/>
        <w:rPr>
          <w:rFonts w:hint="eastAsia"/>
          <w:color w:val="auto"/>
        </w:rPr>
      </w:pPr>
    </w:p>
    <w:p>
      <w:pPr>
        <w:pStyle w:val="3"/>
        <w:rPr>
          <w:rFonts w:hint="eastAsia" w:ascii="黑体" w:eastAsia="黑体"/>
          <w:b/>
          <w:color w:val="auto"/>
          <w:sz w:val="32"/>
          <w:szCs w:val="32"/>
        </w:rPr>
      </w:pPr>
    </w:p>
    <w:p>
      <w:pPr>
        <w:pStyle w:val="3"/>
        <w:rPr>
          <w:rFonts w:hint="eastAsia" w:ascii="黑体" w:eastAsia="黑体"/>
          <w:b/>
          <w:color w:val="auto"/>
          <w:sz w:val="32"/>
          <w:szCs w:val="32"/>
        </w:rPr>
      </w:pPr>
    </w:p>
    <w:p>
      <w:pPr>
        <w:pStyle w:val="3"/>
        <w:rPr>
          <w:rFonts w:hint="eastAsia" w:ascii="黑体" w:eastAsia="黑体"/>
          <w:b/>
          <w:color w:val="auto"/>
          <w:sz w:val="32"/>
          <w:szCs w:val="32"/>
        </w:rPr>
      </w:pPr>
    </w:p>
    <w:p>
      <w:pPr>
        <w:pStyle w:val="3"/>
        <w:rPr>
          <w:rFonts w:hint="eastAsia" w:ascii="黑体" w:eastAsia="黑体"/>
          <w:b/>
          <w:color w:val="auto"/>
          <w:sz w:val="32"/>
          <w:szCs w:val="32"/>
        </w:rPr>
      </w:pPr>
    </w:p>
    <w:p>
      <w:pPr>
        <w:pStyle w:val="3"/>
        <w:rPr>
          <w:rFonts w:hint="eastAsia" w:ascii="黑体" w:eastAsia="黑体"/>
          <w:b/>
          <w:color w:val="auto"/>
          <w:sz w:val="32"/>
          <w:szCs w:val="32"/>
        </w:rPr>
      </w:pPr>
    </w:p>
    <w:p>
      <w:pPr>
        <w:pStyle w:val="3"/>
        <w:jc w:val="center"/>
        <w:rPr>
          <w:rFonts w:hint="eastAsia"/>
          <w:b/>
          <w:color w:val="auto"/>
          <w:sz w:val="32"/>
          <w:szCs w:val="32"/>
          <w:lang w:val="en-US" w:eastAsia="zh-CN"/>
        </w:rPr>
      </w:pPr>
      <w:r>
        <w:rPr>
          <w:rFonts w:hint="eastAsia"/>
          <w:b/>
          <w:color w:val="auto"/>
          <w:sz w:val="32"/>
          <w:szCs w:val="32"/>
          <w:lang w:val="en-US" w:eastAsia="zh-CN"/>
        </w:rPr>
        <w:t>确认参加回执</w:t>
      </w:r>
    </w:p>
    <w:p>
      <w:pPr>
        <w:pStyle w:val="4"/>
        <w:rPr>
          <w:rFonts w:hint="eastAsia"/>
          <w:color w:val="auto"/>
          <w:lang w:val="en-US" w:eastAsia="zh-CN"/>
        </w:rPr>
      </w:pPr>
    </w:p>
    <w:p>
      <w:pPr>
        <w:pStyle w:val="24"/>
        <w:keepNext w:val="0"/>
        <w:keepLines w:val="0"/>
        <w:pageBreakBefore w:val="0"/>
        <w:widowControl/>
        <w:kinsoku/>
        <w:wordWrap/>
        <w:overflowPunct/>
        <w:topLinePunct w:val="0"/>
        <w:autoSpaceDE/>
        <w:autoSpaceDN/>
        <w:bidi w:val="0"/>
        <w:adjustRightInd w:val="0"/>
        <w:snapToGrid w:val="0"/>
        <w:spacing w:line="540" w:lineRule="atLeast"/>
        <w:ind w:left="0" w:leftChars="0" w:firstLine="0" w:firstLineChars="0"/>
        <w:textAlignment w:val="baseline"/>
        <w:rPr>
          <w:rFonts w:hint="eastAsia" w:ascii="宋体" w:hAnsi="宋体" w:cs="宋体"/>
          <w:color w:val="auto"/>
          <w:szCs w:val="21"/>
          <w:u w:val="single"/>
          <w:lang w:eastAsia="zh-CN"/>
        </w:rPr>
      </w:pPr>
      <w:r>
        <w:rPr>
          <w:rFonts w:hint="eastAsia" w:ascii="宋体" w:hAnsi="宋体" w:cs="宋体"/>
          <w:color w:val="auto"/>
          <w:szCs w:val="21"/>
          <w:u w:val="single"/>
          <w:lang w:eastAsia="zh-CN"/>
        </w:rPr>
        <w:t>致            (</w:t>
      </w:r>
      <w:r>
        <w:rPr>
          <w:rFonts w:hint="eastAsia" w:ascii="宋体" w:hAnsi="宋体" w:cs="宋体"/>
          <w:color w:val="auto"/>
          <w:szCs w:val="21"/>
          <w:u w:val="none"/>
          <w:lang w:eastAsia="zh-CN"/>
        </w:rPr>
        <w:t>采购人、采购代理机构)：</w:t>
      </w:r>
    </w:p>
    <w:p>
      <w:pPr>
        <w:pStyle w:val="24"/>
        <w:keepNext w:val="0"/>
        <w:keepLines w:val="0"/>
        <w:pageBreakBefore w:val="0"/>
        <w:widowControl/>
        <w:kinsoku/>
        <w:wordWrap/>
        <w:overflowPunct/>
        <w:topLinePunct w:val="0"/>
        <w:autoSpaceDE/>
        <w:autoSpaceDN/>
        <w:bidi w:val="0"/>
        <w:adjustRightInd w:val="0"/>
        <w:snapToGrid w:val="0"/>
        <w:spacing w:line="540" w:lineRule="atLeast"/>
        <w:textAlignment w:val="baseline"/>
        <w:rPr>
          <w:rFonts w:hint="eastAsia" w:ascii="宋体" w:hAnsi="宋体" w:cs="宋体"/>
          <w:color w:val="auto"/>
          <w:szCs w:val="21"/>
          <w:u w:val="none"/>
          <w:lang w:val="en-US" w:eastAsia="zh-CN"/>
        </w:rPr>
      </w:pPr>
      <w:r>
        <w:rPr>
          <w:rFonts w:hint="eastAsia" w:ascii="宋体" w:hAnsi="宋体" w:cs="宋体"/>
          <w:color w:val="auto"/>
          <w:szCs w:val="21"/>
          <w:u w:val="none"/>
          <w:lang w:val="en-US" w:eastAsia="zh-CN"/>
        </w:rPr>
        <w:t>本单位已经下载</w:t>
      </w:r>
      <w:r>
        <w:rPr>
          <w:rFonts w:hint="eastAsia" w:ascii="宋体" w:hAnsi="宋体" w:cs="宋体"/>
          <w:color w:val="auto"/>
          <w:szCs w:val="21"/>
          <w:u w:val="single"/>
          <w:lang w:eastAsia="zh-CN"/>
        </w:rPr>
        <w:t>娄底职业技术学院大国长技项目-现代农机数字博物馆(第一期)委托开发项目</w:t>
      </w:r>
      <w:r>
        <w:rPr>
          <w:rFonts w:hint="eastAsia" w:ascii="宋体" w:hAnsi="宋体" w:cs="宋体"/>
          <w:color w:val="auto"/>
          <w:szCs w:val="21"/>
          <w:u w:val="none"/>
          <w:lang w:val="en-US" w:eastAsia="zh-CN"/>
        </w:rPr>
        <w:t>磋商文件，已知晓磋商文件全部内容愿意参加本项目的投标。</w:t>
      </w:r>
    </w:p>
    <w:p>
      <w:pPr>
        <w:pStyle w:val="24"/>
        <w:keepNext w:val="0"/>
        <w:keepLines w:val="0"/>
        <w:pageBreakBefore w:val="0"/>
        <w:widowControl/>
        <w:kinsoku/>
        <w:wordWrap/>
        <w:overflowPunct/>
        <w:topLinePunct w:val="0"/>
        <w:autoSpaceDE/>
        <w:autoSpaceDN/>
        <w:bidi w:val="0"/>
        <w:adjustRightInd w:val="0"/>
        <w:snapToGrid w:val="0"/>
        <w:spacing w:line="540" w:lineRule="atLeast"/>
        <w:textAlignment w:val="baseline"/>
        <w:rPr>
          <w:rFonts w:hint="eastAsia" w:ascii="宋体" w:hAnsi="宋体" w:cs="宋体"/>
          <w:color w:val="auto"/>
          <w:szCs w:val="21"/>
          <w:u w:val="none"/>
          <w:lang w:val="en-US" w:eastAsia="zh-CN"/>
        </w:rPr>
      </w:pPr>
    </w:p>
    <w:p>
      <w:pPr>
        <w:pStyle w:val="24"/>
        <w:keepNext w:val="0"/>
        <w:keepLines w:val="0"/>
        <w:pageBreakBefore w:val="0"/>
        <w:widowControl/>
        <w:kinsoku/>
        <w:wordWrap/>
        <w:overflowPunct/>
        <w:topLinePunct w:val="0"/>
        <w:autoSpaceDE/>
        <w:autoSpaceDN/>
        <w:bidi w:val="0"/>
        <w:adjustRightInd w:val="0"/>
        <w:snapToGrid w:val="0"/>
        <w:spacing w:line="540" w:lineRule="atLeast"/>
        <w:textAlignment w:val="baseline"/>
        <w:rPr>
          <w:rFonts w:hint="eastAsia" w:ascii="宋体" w:hAnsi="宋体" w:cs="宋体"/>
          <w:color w:val="auto"/>
          <w:szCs w:val="21"/>
          <w:u w:val="none"/>
          <w:lang w:val="en-US" w:eastAsia="zh-CN"/>
        </w:rPr>
      </w:pPr>
    </w:p>
    <w:p>
      <w:pPr>
        <w:pStyle w:val="24"/>
        <w:keepNext w:val="0"/>
        <w:keepLines w:val="0"/>
        <w:pageBreakBefore w:val="0"/>
        <w:widowControl/>
        <w:kinsoku/>
        <w:wordWrap/>
        <w:overflowPunct/>
        <w:topLinePunct w:val="0"/>
        <w:autoSpaceDE/>
        <w:autoSpaceDN/>
        <w:bidi w:val="0"/>
        <w:adjustRightInd w:val="0"/>
        <w:snapToGrid w:val="0"/>
        <w:spacing w:line="540" w:lineRule="atLeast"/>
        <w:textAlignment w:val="baseline"/>
        <w:rPr>
          <w:rFonts w:hint="default" w:ascii="宋体" w:hAnsi="宋体" w:cs="宋体"/>
          <w:color w:val="auto"/>
          <w:szCs w:val="21"/>
          <w:u w:val="none"/>
          <w:lang w:val="en-US" w:eastAsia="zh-CN"/>
        </w:rPr>
      </w:pPr>
      <w:r>
        <w:rPr>
          <w:rFonts w:hint="eastAsia" w:ascii="宋体" w:hAnsi="宋体" w:cs="宋体"/>
          <w:color w:val="auto"/>
          <w:szCs w:val="21"/>
          <w:u w:val="none"/>
          <w:lang w:val="en-US" w:eastAsia="zh-CN"/>
        </w:rPr>
        <w:t xml:space="preserve">                                      供应商名称：（盖章）</w:t>
      </w:r>
    </w:p>
    <w:p>
      <w:pPr>
        <w:pStyle w:val="24"/>
        <w:keepNext w:val="0"/>
        <w:keepLines w:val="0"/>
        <w:pageBreakBefore w:val="0"/>
        <w:widowControl/>
        <w:kinsoku/>
        <w:wordWrap/>
        <w:overflowPunct/>
        <w:topLinePunct w:val="0"/>
        <w:autoSpaceDE/>
        <w:autoSpaceDN/>
        <w:bidi w:val="0"/>
        <w:adjustRightInd w:val="0"/>
        <w:snapToGrid w:val="0"/>
        <w:spacing w:line="540" w:lineRule="atLeast"/>
        <w:textAlignment w:val="baseline"/>
        <w:rPr>
          <w:rFonts w:hint="default" w:ascii="宋体" w:hAnsi="宋体" w:cs="宋体"/>
          <w:color w:val="auto"/>
          <w:szCs w:val="21"/>
          <w:u w:val="none"/>
          <w:lang w:val="en-US" w:eastAsia="zh-CN"/>
        </w:rPr>
      </w:pPr>
      <w:r>
        <w:rPr>
          <w:rFonts w:hint="eastAsia" w:ascii="宋体" w:hAnsi="宋体" w:cs="宋体"/>
          <w:color w:val="auto"/>
          <w:szCs w:val="21"/>
          <w:u w:val="none"/>
          <w:lang w:val="en-US" w:eastAsia="zh-CN"/>
        </w:rPr>
        <w:t xml:space="preserve">                                     日期：</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年</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 xml:space="preserve">月 </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 xml:space="preserve">日 </w:t>
      </w:r>
    </w:p>
    <w:p>
      <w:pPr>
        <w:pStyle w:val="24"/>
        <w:bidi w:val="0"/>
        <w:ind w:firstLine="1507" w:firstLineChars="628"/>
        <w:rPr>
          <w:rFonts w:hint="default"/>
          <w:color w:val="auto"/>
          <w:lang w:val="en-US" w:eastAsia="zh-CN"/>
        </w:rPr>
      </w:pPr>
    </w:p>
    <w:p>
      <w:pPr>
        <w:pStyle w:val="24"/>
        <w:bidi w:val="0"/>
        <w:ind w:firstLine="1507" w:firstLineChars="628"/>
        <w:rPr>
          <w:rFonts w:hint="default"/>
          <w:color w:val="auto"/>
          <w:lang w:val="en-US" w:eastAsia="zh-CN"/>
        </w:rPr>
      </w:pPr>
    </w:p>
    <w:p>
      <w:pPr>
        <w:pStyle w:val="24"/>
        <w:bidi w:val="0"/>
        <w:ind w:firstLine="1507" w:firstLineChars="628"/>
        <w:rPr>
          <w:rFonts w:hint="default"/>
          <w:color w:val="auto"/>
          <w:lang w:val="en-US" w:eastAsia="zh-CN"/>
        </w:rPr>
      </w:pPr>
    </w:p>
    <w:p>
      <w:pPr>
        <w:pStyle w:val="24"/>
        <w:bidi w:val="0"/>
        <w:ind w:firstLine="1507" w:firstLineChars="628"/>
        <w:rPr>
          <w:rFonts w:hint="default"/>
          <w:color w:val="auto"/>
          <w:lang w:val="en-US" w:eastAsia="zh-CN"/>
        </w:rPr>
      </w:pPr>
    </w:p>
    <w:p>
      <w:pPr>
        <w:pStyle w:val="24"/>
        <w:bidi w:val="0"/>
        <w:ind w:firstLine="1507" w:firstLineChars="628"/>
        <w:rPr>
          <w:rFonts w:hint="default"/>
          <w:color w:val="auto"/>
          <w:lang w:val="en-US" w:eastAsia="zh-CN"/>
        </w:rPr>
      </w:pPr>
    </w:p>
    <w:p>
      <w:pPr>
        <w:pStyle w:val="24"/>
        <w:bidi w:val="0"/>
        <w:ind w:firstLine="1507" w:firstLineChars="628"/>
        <w:rPr>
          <w:rFonts w:hint="default"/>
          <w:color w:val="auto"/>
          <w:lang w:val="en-US" w:eastAsia="zh-CN"/>
        </w:rPr>
      </w:pPr>
    </w:p>
    <w:p>
      <w:pPr>
        <w:pStyle w:val="24"/>
        <w:bidi w:val="0"/>
        <w:ind w:firstLine="1507" w:firstLineChars="628"/>
        <w:rPr>
          <w:rFonts w:hint="default"/>
          <w:color w:val="auto"/>
          <w:lang w:val="en-US" w:eastAsia="zh-CN"/>
        </w:rPr>
      </w:pPr>
    </w:p>
    <w:p>
      <w:pPr>
        <w:pStyle w:val="24"/>
        <w:bidi w:val="0"/>
        <w:ind w:firstLine="1507" w:firstLineChars="628"/>
        <w:rPr>
          <w:rFonts w:hint="default"/>
          <w:color w:val="auto"/>
          <w:lang w:val="en-US" w:eastAsia="zh-CN"/>
        </w:rPr>
      </w:pPr>
    </w:p>
    <w:p>
      <w:pPr>
        <w:pStyle w:val="24"/>
        <w:bidi w:val="0"/>
        <w:ind w:firstLine="1507" w:firstLineChars="628"/>
        <w:rPr>
          <w:rFonts w:hint="default"/>
          <w:color w:val="auto"/>
          <w:lang w:val="en-US" w:eastAsia="zh-CN"/>
        </w:rPr>
      </w:pPr>
    </w:p>
    <w:p>
      <w:pPr>
        <w:pStyle w:val="24"/>
        <w:bidi w:val="0"/>
        <w:ind w:firstLine="1507" w:firstLineChars="628"/>
        <w:rPr>
          <w:rFonts w:hint="default"/>
          <w:color w:val="auto"/>
          <w:lang w:val="en-US" w:eastAsia="zh-CN"/>
        </w:rPr>
      </w:pPr>
    </w:p>
    <w:p>
      <w:pPr>
        <w:pStyle w:val="24"/>
        <w:bidi w:val="0"/>
        <w:ind w:firstLine="1507" w:firstLineChars="628"/>
        <w:rPr>
          <w:rFonts w:hint="default"/>
          <w:color w:val="auto"/>
          <w:lang w:val="en-US" w:eastAsia="zh-CN"/>
        </w:rPr>
      </w:pPr>
    </w:p>
    <w:p>
      <w:pPr>
        <w:pStyle w:val="24"/>
        <w:bidi w:val="0"/>
        <w:ind w:firstLine="1507" w:firstLineChars="628"/>
        <w:rPr>
          <w:rFonts w:hint="default"/>
          <w:color w:val="auto"/>
          <w:lang w:val="en-US" w:eastAsia="zh-CN"/>
        </w:rPr>
      </w:pPr>
    </w:p>
    <w:p>
      <w:pPr>
        <w:pStyle w:val="24"/>
        <w:bidi w:val="0"/>
        <w:ind w:firstLine="1507" w:firstLineChars="628"/>
        <w:rPr>
          <w:rFonts w:hint="default"/>
          <w:color w:val="auto"/>
          <w:lang w:val="en-US" w:eastAsia="zh-CN"/>
        </w:rPr>
      </w:pPr>
    </w:p>
    <w:p>
      <w:pPr>
        <w:pStyle w:val="24"/>
        <w:bidi w:val="0"/>
        <w:ind w:firstLine="1507" w:firstLineChars="628"/>
        <w:rPr>
          <w:rFonts w:hint="default"/>
          <w:color w:val="auto"/>
          <w:lang w:val="en-US" w:eastAsia="zh-CN"/>
        </w:rPr>
      </w:pPr>
    </w:p>
    <w:p>
      <w:pPr>
        <w:pStyle w:val="24"/>
        <w:bidi w:val="0"/>
        <w:ind w:firstLine="1507" w:firstLineChars="628"/>
        <w:rPr>
          <w:rFonts w:hint="default"/>
          <w:color w:val="auto"/>
          <w:lang w:val="en-US" w:eastAsia="zh-CN"/>
        </w:rPr>
      </w:pPr>
    </w:p>
    <w:p>
      <w:pPr>
        <w:pStyle w:val="24"/>
        <w:bidi w:val="0"/>
        <w:ind w:firstLine="1507" w:firstLineChars="628"/>
        <w:rPr>
          <w:rFonts w:hint="default"/>
          <w:color w:val="auto"/>
          <w:lang w:val="en-US" w:eastAsia="zh-CN"/>
        </w:rPr>
      </w:pPr>
    </w:p>
    <w:p>
      <w:pPr>
        <w:pStyle w:val="24"/>
        <w:bidi w:val="0"/>
        <w:ind w:firstLine="1507" w:firstLineChars="628"/>
        <w:rPr>
          <w:rFonts w:hint="default"/>
          <w:color w:val="auto"/>
          <w:lang w:val="en-US" w:eastAsia="zh-CN"/>
        </w:rPr>
      </w:pPr>
    </w:p>
    <w:p>
      <w:pPr>
        <w:pStyle w:val="24"/>
        <w:bidi w:val="0"/>
        <w:ind w:firstLine="1507" w:firstLineChars="628"/>
        <w:rPr>
          <w:rFonts w:hint="default"/>
          <w:color w:val="auto"/>
          <w:lang w:val="en-US" w:eastAsia="zh-CN"/>
        </w:rPr>
      </w:pPr>
    </w:p>
    <w:p>
      <w:pPr>
        <w:pStyle w:val="24"/>
        <w:bidi w:val="0"/>
        <w:ind w:firstLine="1507" w:firstLineChars="628"/>
        <w:rPr>
          <w:rFonts w:hint="default"/>
          <w:color w:val="auto"/>
          <w:lang w:val="en-US" w:eastAsia="zh-CN"/>
        </w:rPr>
      </w:pPr>
    </w:p>
    <w:p>
      <w:pPr>
        <w:pStyle w:val="8"/>
        <w:rPr>
          <w:rFonts w:hint="eastAsia" w:ascii="黑体" w:eastAsia="黑体"/>
          <w:b/>
          <w:color w:val="auto"/>
          <w:sz w:val="32"/>
          <w:szCs w:val="32"/>
        </w:rPr>
      </w:pPr>
    </w:p>
    <w:p>
      <w:pPr>
        <w:numPr>
          <w:ilvl w:val="0"/>
          <w:numId w:val="4"/>
        </w:numPr>
        <w:adjustRightInd w:val="0"/>
        <w:snapToGrid w:val="0"/>
        <w:spacing w:line="360" w:lineRule="auto"/>
        <w:ind w:left="0" w:leftChars="0" w:firstLine="0" w:firstLineChars="0"/>
        <w:jc w:val="center"/>
        <w:rPr>
          <w:rFonts w:hint="eastAsia" w:ascii="黑体" w:eastAsia="黑体"/>
          <w:b/>
          <w:color w:val="auto"/>
          <w:sz w:val="32"/>
          <w:szCs w:val="32"/>
          <w:lang w:eastAsia="zh-CN"/>
        </w:rPr>
      </w:pPr>
      <w:r>
        <w:rPr>
          <w:rFonts w:hint="eastAsia" w:ascii="黑体" w:eastAsia="黑体"/>
          <w:b/>
          <w:color w:val="auto"/>
          <w:sz w:val="32"/>
          <w:szCs w:val="32"/>
          <w:lang w:eastAsia="zh-CN"/>
        </w:rPr>
        <w:t>货物说明</w:t>
      </w:r>
    </w:p>
    <w:p>
      <w:pPr>
        <w:adjustRightInd w:val="0"/>
        <w:snapToGrid w:val="0"/>
        <w:spacing w:line="360" w:lineRule="auto"/>
        <w:jc w:val="center"/>
        <w:rPr>
          <w:rFonts w:hint="eastAsia" w:ascii="宋体" w:hAnsi="宋体"/>
          <w:color w:val="auto"/>
          <w:sz w:val="28"/>
          <w:szCs w:val="28"/>
        </w:rPr>
      </w:pPr>
      <w:r>
        <w:rPr>
          <w:rFonts w:hint="eastAsia" w:ascii="宋体" w:hAnsi="宋体"/>
          <w:color w:val="auto"/>
          <w:sz w:val="28"/>
          <w:szCs w:val="28"/>
        </w:rPr>
        <w:t>货物说明一览表</w:t>
      </w:r>
    </w:p>
    <w:tbl>
      <w:tblPr>
        <w:tblStyle w:val="19"/>
        <w:tblpPr w:leftFromText="180" w:rightFromText="180" w:vertAnchor="text" w:horzAnchor="page" w:tblpX="1262" w:tblpY="196"/>
        <w:tblOverlap w:val="never"/>
        <w:tblW w:w="952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778"/>
        <w:gridCol w:w="1459"/>
        <w:gridCol w:w="851"/>
        <w:gridCol w:w="1000"/>
        <w:gridCol w:w="2587"/>
        <w:gridCol w:w="23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462" w:type="dxa"/>
            <w:noWrap w:val="0"/>
            <w:vAlign w:val="top"/>
          </w:tcPr>
          <w:p>
            <w:pPr>
              <w:adjustRightInd w:val="0"/>
              <w:snapToGrid w:val="0"/>
              <w:spacing w:line="400" w:lineRule="atLeast"/>
              <w:ind w:left="-88" w:leftChars="-42"/>
              <w:jc w:val="center"/>
              <w:rPr>
                <w:rFonts w:hint="eastAsia" w:ascii="宋体" w:hAnsi="宋体"/>
                <w:b/>
                <w:color w:val="auto"/>
                <w:szCs w:val="21"/>
              </w:rPr>
            </w:pPr>
            <w:r>
              <w:rPr>
                <w:rFonts w:hint="eastAsia" w:ascii="宋体" w:hAnsi="宋体"/>
                <w:bCs/>
                <w:color w:val="auto"/>
                <w:szCs w:val="21"/>
              </w:rPr>
              <w:t>序号</w:t>
            </w:r>
          </w:p>
        </w:tc>
        <w:tc>
          <w:tcPr>
            <w:tcW w:w="778" w:type="dxa"/>
            <w:noWrap w:val="0"/>
            <w:vAlign w:val="top"/>
          </w:tcPr>
          <w:p>
            <w:pPr>
              <w:adjustRightInd w:val="0"/>
              <w:snapToGrid w:val="0"/>
              <w:spacing w:line="400" w:lineRule="atLeast"/>
              <w:ind w:left="-88" w:leftChars="-42"/>
              <w:jc w:val="center"/>
              <w:rPr>
                <w:rFonts w:hint="eastAsia" w:ascii="宋体" w:hAnsi="宋体"/>
                <w:b/>
                <w:color w:val="auto"/>
                <w:szCs w:val="21"/>
              </w:rPr>
            </w:pPr>
            <w:r>
              <w:rPr>
                <w:rFonts w:hint="eastAsia" w:ascii="宋体" w:hAnsi="宋体"/>
                <w:bCs/>
                <w:color w:val="auto"/>
                <w:szCs w:val="21"/>
              </w:rPr>
              <w:t>包号及品目号</w:t>
            </w:r>
          </w:p>
        </w:tc>
        <w:tc>
          <w:tcPr>
            <w:tcW w:w="1459" w:type="dxa"/>
            <w:noWrap w:val="0"/>
            <w:vAlign w:val="top"/>
          </w:tcPr>
          <w:p>
            <w:pPr>
              <w:adjustRightInd w:val="0"/>
              <w:snapToGrid w:val="0"/>
              <w:spacing w:line="400" w:lineRule="atLeast"/>
              <w:ind w:left="-88" w:leftChars="-42"/>
              <w:jc w:val="center"/>
              <w:rPr>
                <w:rFonts w:hint="eastAsia" w:ascii="宋体" w:hAnsi="宋体"/>
                <w:b/>
                <w:color w:val="auto"/>
                <w:szCs w:val="21"/>
              </w:rPr>
            </w:pPr>
            <w:r>
              <w:rPr>
                <w:rFonts w:hint="eastAsia" w:ascii="宋体" w:hAnsi="宋体"/>
                <w:bCs/>
                <w:color w:val="auto"/>
                <w:szCs w:val="21"/>
              </w:rPr>
              <w:t>货物名称</w:t>
            </w:r>
          </w:p>
        </w:tc>
        <w:tc>
          <w:tcPr>
            <w:tcW w:w="851" w:type="dxa"/>
            <w:noWrap w:val="0"/>
            <w:vAlign w:val="top"/>
          </w:tcPr>
          <w:p>
            <w:pPr>
              <w:adjustRightInd w:val="0"/>
              <w:snapToGrid w:val="0"/>
              <w:spacing w:line="400" w:lineRule="atLeast"/>
              <w:ind w:left="-88" w:leftChars="-42"/>
              <w:jc w:val="center"/>
              <w:rPr>
                <w:rFonts w:hint="eastAsia" w:ascii="宋体" w:hAnsi="宋体"/>
                <w:b/>
                <w:color w:val="auto"/>
                <w:szCs w:val="21"/>
              </w:rPr>
            </w:pPr>
            <w:r>
              <w:rPr>
                <w:rFonts w:hint="eastAsia" w:ascii="宋体" w:hAnsi="宋体"/>
                <w:bCs/>
                <w:color w:val="auto"/>
                <w:szCs w:val="21"/>
              </w:rPr>
              <w:t>制造商名称</w:t>
            </w:r>
          </w:p>
        </w:tc>
        <w:tc>
          <w:tcPr>
            <w:tcW w:w="1000" w:type="dxa"/>
            <w:noWrap w:val="0"/>
            <w:vAlign w:val="top"/>
          </w:tcPr>
          <w:p>
            <w:pPr>
              <w:adjustRightInd w:val="0"/>
              <w:snapToGrid w:val="0"/>
              <w:spacing w:line="400" w:lineRule="atLeast"/>
              <w:ind w:left="-88" w:leftChars="-42"/>
              <w:jc w:val="center"/>
              <w:rPr>
                <w:rFonts w:hint="eastAsia" w:ascii="宋体" w:hAnsi="宋体"/>
                <w:b/>
                <w:color w:val="auto"/>
                <w:szCs w:val="21"/>
              </w:rPr>
            </w:pPr>
            <w:r>
              <w:rPr>
                <w:rFonts w:hint="eastAsia" w:ascii="宋体" w:hAnsi="宋体"/>
                <w:bCs/>
                <w:color w:val="auto"/>
                <w:szCs w:val="21"/>
              </w:rPr>
              <w:t>型号规格</w:t>
            </w:r>
          </w:p>
        </w:tc>
        <w:tc>
          <w:tcPr>
            <w:tcW w:w="2587" w:type="dxa"/>
            <w:noWrap w:val="0"/>
            <w:vAlign w:val="top"/>
          </w:tcPr>
          <w:p>
            <w:pPr>
              <w:adjustRightInd w:val="0"/>
              <w:snapToGrid w:val="0"/>
              <w:spacing w:line="400" w:lineRule="atLeast"/>
              <w:ind w:left="-88" w:leftChars="-42"/>
              <w:jc w:val="center"/>
              <w:rPr>
                <w:rFonts w:hint="eastAsia" w:ascii="宋体" w:hAnsi="宋体"/>
                <w:b/>
                <w:color w:val="auto"/>
                <w:szCs w:val="21"/>
              </w:rPr>
            </w:pPr>
            <w:r>
              <w:rPr>
                <w:rFonts w:hint="eastAsia" w:ascii="宋体" w:hAnsi="宋体"/>
                <w:bCs/>
                <w:color w:val="auto"/>
                <w:szCs w:val="21"/>
              </w:rPr>
              <w:t>主要技术参数和技术指标</w:t>
            </w:r>
          </w:p>
        </w:tc>
        <w:tc>
          <w:tcPr>
            <w:tcW w:w="2388" w:type="dxa"/>
            <w:noWrap w:val="0"/>
            <w:vAlign w:val="top"/>
          </w:tcPr>
          <w:p>
            <w:pPr>
              <w:adjustRightInd w:val="0"/>
              <w:snapToGrid w:val="0"/>
              <w:spacing w:line="400" w:lineRule="atLeast"/>
              <w:ind w:left="-88" w:leftChars="-42"/>
              <w:jc w:val="center"/>
              <w:rPr>
                <w:rFonts w:hint="eastAsia" w:ascii="宋体" w:hAnsi="宋体"/>
                <w:b/>
                <w:color w:val="auto"/>
                <w:szCs w:val="21"/>
              </w:rPr>
            </w:pPr>
            <w:r>
              <w:rPr>
                <w:rFonts w:hint="eastAsia" w:ascii="宋体" w:hAnsi="宋体"/>
                <w:bCs/>
                <w:color w:val="auto"/>
                <w:szCs w:val="21"/>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462"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778"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1459"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851"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1000"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2587"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2388" w:type="dxa"/>
            <w:noWrap w:val="0"/>
            <w:vAlign w:val="top"/>
          </w:tcPr>
          <w:p>
            <w:pPr>
              <w:adjustRightInd w:val="0"/>
              <w:snapToGrid w:val="0"/>
              <w:spacing w:line="400" w:lineRule="atLeast"/>
              <w:ind w:left="-88" w:leftChars="-42"/>
              <w:jc w:val="center"/>
              <w:rPr>
                <w:rFonts w:hint="eastAsia" w:ascii="宋体" w:hAnsi="宋体"/>
                <w:b/>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462"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778"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1459"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851"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1000"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2587"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2388" w:type="dxa"/>
            <w:noWrap w:val="0"/>
            <w:vAlign w:val="top"/>
          </w:tcPr>
          <w:p>
            <w:pPr>
              <w:adjustRightInd w:val="0"/>
              <w:snapToGrid w:val="0"/>
              <w:spacing w:line="400" w:lineRule="atLeast"/>
              <w:ind w:left="-88" w:leftChars="-42"/>
              <w:jc w:val="center"/>
              <w:rPr>
                <w:rFonts w:hint="eastAsia" w:ascii="宋体" w:hAnsi="宋体"/>
                <w:b/>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462"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778"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1459"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851"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1000"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2587"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2388" w:type="dxa"/>
            <w:noWrap w:val="0"/>
            <w:vAlign w:val="top"/>
          </w:tcPr>
          <w:p>
            <w:pPr>
              <w:adjustRightInd w:val="0"/>
              <w:snapToGrid w:val="0"/>
              <w:spacing w:line="400" w:lineRule="atLeast"/>
              <w:ind w:left="-88" w:leftChars="-42"/>
              <w:jc w:val="center"/>
              <w:rPr>
                <w:rFonts w:hint="eastAsia" w:ascii="宋体" w:hAnsi="宋体"/>
                <w:b/>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462"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778"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1459"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851"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1000"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2587"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2388" w:type="dxa"/>
            <w:noWrap w:val="0"/>
            <w:vAlign w:val="top"/>
          </w:tcPr>
          <w:p>
            <w:pPr>
              <w:adjustRightInd w:val="0"/>
              <w:snapToGrid w:val="0"/>
              <w:spacing w:line="400" w:lineRule="atLeast"/>
              <w:ind w:left="-88" w:leftChars="-42"/>
              <w:jc w:val="center"/>
              <w:rPr>
                <w:rFonts w:hint="eastAsia" w:ascii="宋体" w:hAnsi="宋体"/>
                <w:b/>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462"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778"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1459"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851"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1000"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2587"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2388" w:type="dxa"/>
            <w:noWrap w:val="0"/>
            <w:vAlign w:val="top"/>
          </w:tcPr>
          <w:p>
            <w:pPr>
              <w:adjustRightInd w:val="0"/>
              <w:snapToGrid w:val="0"/>
              <w:spacing w:line="400" w:lineRule="atLeast"/>
              <w:ind w:left="-88" w:leftChars="-42"/>
              <w:jc w:val="center"/>
              <w:rPr>
                <w:rFonts w:hint="eastAsia" w:ascii="宋体" w:hAnsi="宋体"/>
                <w:b/>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462"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778"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1459"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851"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1000"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2587"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2388" w:type="dxa"/>
            <w:noWrap w:val="0"/>
            <w:vAlign w:val="top"/>
          </w:tcPr>
          <w:p>
            <w:pPr>
              <w:adjustRightInd w:val="0"/>
              <w:snapToGrid w:val="0"/>
              <w:spacing w:line="400" w:lineRule="atLeast"/>
              <w:ind w:left="-88" w:leftChars="-42"/>
              <w:jc w:val="center"/>
              <w:rPr>
                <w:rFonts w:hint="eastAsia" w:ascii="宋体" w:hAnsi="宋体"/>
                <w:b/>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1" w:hRule="atLeast"/>
        </w:trPr>
        <w:tc>
          <w:tcPr>
            <w:tcW w:w="462"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778"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1459"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851"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1000"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2587" w:type="dxa"/>
            <w:noWrap w:val="0"/>
            <w:vAlign w:val="top"/>
          </w:tcPr>
          <w:p>
            <w:pPr>
              <w:adjustRightInd w:val="0"/>
              <w:snapToGrid w:val="0"/>
              <w:spacing w:line="400" w:lineRule="atLeast"/>
              <w:ind w:left="-88" w:leftChars="-42"/>
              <w:jc w:val="center"/>
              <w:rPr>
                <w:rFonts w:hint="eastAsia" w:ascii="宋体" w:hAnsi="宋体"/>
                <w:b/>
                <w:color w:val="auto"/>
                <w:szCs w:val="21"/>
              </w:rPr>
            </w:pPr>
          </w:p>
        </w:tc>
        <w:tc>
          <w:tcPr>
            <w:tcW w:w="2388" w:type="dxa"/>
            <w:noWrap w:val="0"/>
            <w:vAlign w:val="top"/>
          </w:tcPr>
          <w:p>
            <w:pPr>
              <w:adjustRightInd w:val="0"/>
              <w:snapToGrid w:val="0"/>
              <w:spacing w:line="400" w:lineRule="atLeast"/>
              <w:ind w:left="-88" w:leftChars="-42"/>
              <w:jc w:val="center"/>
              <w:rPr>
                <w:rFonts w:hint="eastAsia" w:ascii="宋体" w:hAnsi="宋体"/>
                <w:b/>
                <w:color w:val="auto"/>
                <w:szCs w:val="21"/>
              </w:rPr>
            </w:pPr>
          </w:p>
        </w:tc>
      </w:tr>
    </w:tbl>
    <w:p>
      <w:pPr>
        <w:adjustRightInd w:val="0"/>
        <w:snapToGrid w:val="0"/>
        <w:ind w:left="-88" w:leftChars="-42" w:firstLine="133" w:firstLineChars="50"/>
        <w:rPr>
          <w:rFonts w:hint="eastAsia" w:ascii="宋体" w:hAnsi="宋体"/>
          <w:color w:val="auto"/>
          <w:szCs w:val="21"/>
        </w:rPr>
      </w:pPr>
      <w:r>
        <w:rPr>
          <w:rFonts w:hint="eastAsia" w:ascii="宋体" w:hAnsi="宋体"/>
          <w:color w:val="auto"/>
          <w:spacing w:val="28"/>
          <w:szCs w:val="21"/>
          <w:lang w:eastAsia="zh-CN"/>
        </w:rPr>
        <w:t>委托代理</w:t>
      </w:r>
      <w:r>
        <w:rPr>
          <w:rFonts w:hint="eastAsia" w:ascii="宋体" w:hAnsi="宋体"/>
          <w:color w:val="auto"/>
          <w:spacing w:val="28"/>
          <w:szCs w:val="21"/>
        </w:rPr>
        <w:t>编号</w:t>
      </w: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pPr>
        <w:pStyle w:val="12"/>
        <w:adjustRightInd w:val="0"/>
        <w:snapToGrid w:val="0"/>
        <w:ind w:left="-88" w:leftChars="-42"/>
        <w:outlineLvl w:val="0"/>
        <w:rPr>
          <w:rFonts w:hint="eastAsia" w:ascii="宋体" w:hAnsi="宋体"/>
          <w:bCs/>
          <w:color w:val="auto"/>
          <w:sz w:val="21"/>
          <w:szCs w:val="21"/>
        </w:rPr>
      </w:pPr>
    </w:p>
    <w:p>
      <w:pPr>
        <w:pStyle w:val="12"/>
        <w:adjustRightInd w:val="0"/>
        <w:snapToGrid w:val="0"/>
        <w:ind w:left="-88" w:leftChars="-42"/>
        <w:outlineLvl w:val="0"/>
        <w:rPr>
          <w:rFonts w:hint="eastAsia" w:ascii="宋体" w:hAnsi="宋体"/>
          <w:bCs/>
          <w:color w:val="auto"/>
          <w:sz w:val="21"/>
          <w:szCs w:val="21"/>
        </w:rPr>
      </w:pPr>
      <w:r>
        <w:rPr>
          <w:rFonts w:hint="eastAsia" w:ascii="宋体" w:hAnsi="宋体"/>
          <w:b/>
          <w:color w:val="auto"/>
          <w:sz w:val="21"/>
          <w:szCs w:val="21"/>
        </w:rPr>
        <w:t>备注</w:t>
      </w:r>
      <w:r>
        <w:rPr>
          <w:rFonts w:hint="eastAsia" w:ascii="宋体" w:hAnsi="宋体"/>
          <w:bCs/>
          <w:color w:val="auto"/>
          <w:sz w:val="21"/>
          <w:szCs w:val="21"/>
        </w:rPr>
        <w:t>：货物的主要技术参数和技术指标可另页描述。</w:t>
      </w:r>
    </w:p>
    <w:p>
      <w:pPr>
        <w:adjustRightInd w:val="0"/>
        <w:snapToGrid w:val="0"/>
        <w:spacing w:line="360" w:lineRule="auto"/>
        <w:ind w:left="-88" w:leftChars="-42"/>
        <w:outlineLvl w:val="0"/>
        <w:rPr>
          <w:rFonts w:hint="eastAsia" w:ascii="宋体" w:hAnsi="宋体"/>
          <w:color w:val="auto"/>
          <w:szCs w:val="21"/>
        </w:rPr>
      </w:pPr>
    </w:p>
    <w:p>
      <w:pPr>
        <w:adjustRightInd w:val="0"/>
        <w:snapToGrid w:val="0"/>
        <w:spacing w:line="360" w:lineRule="auto"/>
        <w:ind w:left="-88" w:leftChars="-42"/>
        <w:outlineLvl w:val="0"/>
        <w:rPr>
          <w:rFonts w:hint="eastAsia" w:ascii="宋体" w:hAnsi="宋体"/>
          <w:color w:val="auto"/>
          <w:szCs w:val="21"/>
        </w:rPr>
      </w:pPr>
    </w:p>
    <w:p>
      <w:pPr>
        <w:adjustRightInd w:val="0"/>
        <w:snapToGrid w:val="0"/>
        <w:spacing w:before="50" w:line="360" w:lineRule="auto"/>
        <w:rPr>
          <w:rFonts w:hint="eastAsia" w:ascii="宋体" w:hAnsi="宋体"/>
          <w:color w:val="auto"/>
          <w:szCs w:val="21"/>
        </w:rPr>
      </w:pPr>
      <w:r>
        <w:rPr>
          <w:rFonts w:hint="eastAsia" w:ascii="宋体" w:hAnsi="宋体"/>
          <w:color w:val="auto"/>
          <w:szCs w:val="21"/>
        </w:rPr>
        <w:t>投标人名称（单位章）：</w:t>
      </w:r>
    </w:p>
    <w:p>
      <w:pPr>
        <w:adjustRightInd w:val="0"/>
        <w:snapToGrid w:val="0"/>
        <w:spacing w:before="50" w:line="360" w:lineRule="auto"/>
        <w:rPr>
          <w:rFonts w:hint="eastAsia" w:ascii="宋体" w:hAnsi="宋体"/>
          <w:color w:val="auto"/>
          <w:szCs w:val="21"/>
        </w:rPr>
      </w:pPr>
      <w:r>
        <w:rPr>
          <w:rFonts w:hint="eastAsia" w:ascii="宋体" w:hAnsi="宋体"/>
          <w:color w:val="auto"/>
          <w:szCs w:val="21"/>
        </w:rPr>
        <w:t>法定代表人或其授权的代理人(签字)：</w:t>
      </w:r>
      <w:r>
        <w:rPr>
          <w:rFonts w:hint="eastAsia" w:ascii="宋体" w:hAnsi="宋体"/>
          <w:color w:val="auto"/>
          <w:szCs w:val="21"/>
          <w:u w:val="single"/>
        </w:rPr>
        <w:t xml:space="preserve">             </w:t>
      </w:r>
    </w:p>
    <w:p>
      <w:pPr>
        <w:adjustRightInd w:val="0"/>
        <w:snapToGrid w:val="0"/>
        <w:spacing w:before="50" w:line="360" w:lineRule="auto"/>
        <w:rPr>
          <w:rFonts w:ascii="宋体" w:hAnsi="宋体"/>
          <w:color w:val="auto"/>
          <w:szCs w:val="21"/>
        </w:rPr>
        <w:sectPr>
          <w:pgSz w:w="11906" w:h="16838"/>
          <w:pgMar w:top="1440" w:right="1588" w:bottom="1440" w:left="1588" w:header="851" w:footer="992" w:gutter="0"/>
          <w:cols w:space="720" w:num="1"/>
          <w:rtlGutter w:val="0"/>
          <w:docGrid w:type="lines" w:linePitch="312" w:charSpace="0"/>
        </w:sect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p>
    <w:p>
      <w:pPr>
        <w:adjustRightInd w:val="0"/>
        <w:snapToGrid w:val="0"/>
        <w:spacing w:line="360" w:lineRule="auto"/>
        <w:jc w:val="center"/>
        <w:outlineLvl w:val="0"/>
        <w:rPr>
          <w:rFonts w:hint="eastAsia" w:ascii="黑体" w:eastAsia="黑体"/>
          <w:b/>
          <w:color w:val="auto"/>
          <w:sz w:val="30"/>
          <w:szCs w:val="30"/>
        </w:rPr>
      </w:pPr>
    </w:p>
    <w:p>
      <w:pPr>
        <w:adjustRightInd w:val="0"/>
        <w:snapToGrid w:val="0"/>
        <w:spacing w:line="360" w:lineRule="auto"/>
        <w:ind w:firstLine="2107" w:firstLineChars="700"/>
        <w:outlineLvl w:val="0"/>
        <w:rPr>
          <w:rFonts w:hint="eastAsia" w:ascii="黑体" w:hAnsi="宋体" w:eastAsia="黑体"/>
          <w:b/>
          <w:color w:val="auto"/>
          <w:sz w:val="30"/>
          <w:szCs w:val="30"/>
        </w:rPr>
      </w:pPr>
      <w:r>
        <w:rPr>
          <w:rFonts w:hint="eastAsia" w:ascii="黑体" w:eastAsia="黑体"/>
          <w:b/>
          <w:color w:val="auto"/>
          <w:sz w:val="30"/>
          <w:szCs w:val="30"/>
        </w:rPr>
        <w:t>五、</w:t>
      </w:r>
      <w:r>
        <w:rPr>
          <w:rFonts w:hint="eastAsia" w:ascii="黑体" w:hAnsi="宋体" w:eastAsia="黑体"/>
          <w:b/>
          <w:color w:val="auto"/>
          <w:sz w:val="30"/>
          <w:szCs w:val="30"/>
        </w:rPr>
        <w:t>技术/</w:t>
      </w:r>
      <w:r>
        <w:rPr>
          <w:rFonts w:hint="eastAsia" w:ascii="黑体" w:eastAsia="黑体"/>
          <w:b/>
          <w:color w:val="auto"/>
          <w:sz w:val="30"/>
          <w:szCs w:val="30"/>
        </w:rPr>
        <w:t>商务</w:t>
      </w:r>
      <w:r>
        <w:rPr>
          <w:rFonts w:hint="eastAsia" w:ascii="黑体" w:hAnsi="宋体" w:eastAsia="黑体"/>
          <w:b/>
          <w:color w:val="auto"/>
          <w:sz w:val="30"/>
          <w:szCs w:val="30"/>
        </w:rPr>
        <w:t>响应与偏离表</w:t>
      </w:r>
    </w:p>
    <w:p>
      <w:pPr>
        <w:adjustRightInd w:val="0"/>
        <w:snapToGrid w:val="0"/>
        <w:ind w:left="-88" w:leftChars="-42" w:firstLine="316" w:firstLineChars="150"/>
        <w:rPr>
          <w:rFonts w:hint="eastAsia" w:ascii="宋体" w:hAnsi="宋体"/>
          <w:color w:val="auto"/>
          <w:szCs w:val="21"/>
          <w:u w:val="single"/>
        </w:rPr>
      </w:pP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214"/>
        <w:gridCol w:w="6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adjustRightInd w:val="0"/>
              <w:snapToGrid w:val="0"/>
              <w:ind w:left="-88" w:leftChars="-42"/>
              <w:jc w:val="center"/>
              <w:rPr>
                <w:rFonts w:hint="eastAsia" w:ascii="宋体" w:hAnsi="宋体"/>
                <w:bCs/>
                <w:color w:val="auto"/>
                <w:szCs w:val="21"/>
              </w:rPr>
            </w:pPr>
            <w:r>
              <w:rPr>
                <w:rFonts w:hint="eastAsia" w:ascii="宋体" w:hAnsi="宋体"/>
                <w:bCs/>
                <w:color w:val="auto"/>
                <w:szCs w:val="21"/>
              </w:rPr>
              <w:t>序号</w:t>
            </w:r>
          </w:p>
        </w:tc>
        <w:tc>
          <w:tcPr>
            <w:tcW w:w="1685" w:type="dxa"/>
            <w:noWrap w:val="0"/>
            <w:vAlign w:val="center"/>
          </w:tcPr>
          <w:p>
            <w:pPr>
              <w:adjustRightInd w:val="0"/>
              <w:snapToGrid w:val="0"/>
              <w:ind w:left="-88" w:leftChars="-42"/>
              <w:jc w:val="center"/>
              <w:rPr>
                <w:rFonts w:hint="eastAsia" w:ascii="宋体" w:hAnsi="宋体"/>
                <w:color w:val="auto"/>
                <w:szCs w:val="21"/>
              </w:rPr>
            </w:pPr>
            <w:r>
              <w:rPr>
                <w:rFonts w:hint="eastAsia" w:ascii="宋体" w:hAnsi="宋体"/>
                <w:color w:val="auto"/>
                <w:szCs w:val="21"/>
              </w:rPr>
              <w:t>磋商文件条目号</w:t>
            </w:r>
          </w:p>
        </w:tc>
        <w:tc>
          <w:tcPr>
            <w:tcW w:w="1948" w:type="dxa"/>
            <w:noWrap w:val="0"/>
            <w:vAlign w:val="center"/>
          </w:tcPr>
          <w:p>
            <w:pPr>
              <w:adjustRightInd w:val="0"/>
              <w:snapToGrid w:val="0"/>
              <w:ind w:left="-88" w:leftChars="-42"/>
              <w:jc w:val="center"/>
              <w:rPr>
                <w:rFonts w:hint="eastAsia" w:ascii="宋体" w:hAnsi="宋体"/>
                <w:color w:val="auto"/>
                <w:szCs w:val="21"/>
              </w:rPr>
            </w:pPr>
            <w:r>
              <w:rPr>
                <w:rFonts w:hint="eastAsia" w:ascii="宋体" w:hAnsi="宋体"/>
                <w:color w:val="auto"/>
                <w:szCs w:val="21"/>
              </w:rPr>
              <w:t>采购规格/商务条款</w:t>
            </w:r>
          </w:p>
        </w:tc>
        <w:tc>
          <w:tcPr>
            <w:tcW w:w="2600" w:type="dxa"/>
            <w:noWrap w:val="0"/>
            <w:vAlign w:val="center"/>
          </w:tcPr>
          <w:p>
            <w:pPr>
              <w:adjustRightInd w:val="0"/>
              <w:snapToGrid w:val="0"/>
              <w:ind w:left="-88" w:leftChars="-42"/>
              <w:jc w:val="center"/>
              <w:rPr>
                <w:rFonts w:hint="eastAsia" w:ascii="宋体" w:hAnsi="宋体"/>
                <w:color w:val="auto"/>
                <w:szCs w:val="21"/>
              </w:rPr>
            </w:pPr>
            <w:r>
              <w:rPr>
                <w:rFonts w:hint="eastAsia" w:ascii="宋体" w:hAnsi="宋体"/>
                <w:color w:val="auto"/>
                <w:szCs w:val="21"/>
              </w:rPr>
              <w:t>响应文件的规格/商务条款</w:t>
            </w:r>
          </w:p>
        </w:tc>
        <w:tc>
          <w:tcPr>
            <w:tcW w:w="1214" w:type="dxa"/>
            <w:noWrap w:val="0"/>
            <w:vAlign w:val="center"/>
          </w:tcPr>
          <w:p>
            <w:pPr>
              <w:adjustRightInd w:val="0"/>
              <w:snapToGrid w:val="0"/>
              <w:ind w:left="-88" w:leftChars="-42"/>
              <w:jc w:val="center"/>
              <w:rPr>
                <w:rFonts w:hint="eastAsia" w:ascii="宋体" w:hAnsi="宋体"/>
                <w:color w:val="auto"/>
                <w:szCs w:val="21"/>
              </w:rPr>
            </w:pPr>
            <w:r>
              <w:rPr>
                <w:rFonts w:hint="eastAsia" w:ascii="宋体" w:hAnsi="宋体"/>
                <w:color w:val="auto"/>
                <w:szCs w:val="21"/>
              </w:rPr>
              <w:t>响应与偏离</w:t>
            </w:r>
          </w:p>
        </w:tc>
        <w:tc>
          <w:tcPr>
            <w:tcW w:w="661" w:type="dxa"/>
            <w:noWrap w:val="0"/>
            <w:vAlign w:val="center"/>
          </w:tcPr>
          <w:p>
            <w:pPr>
              <w:adjustRightInd w:val="0"/>
              <w:snapToGrid w:val="0"/>
              <w:ind w:left="-88" w:leftChars="-42"/>
              <w:jc w:val="center"/>
              <w:rPr>
                <w:rFonts w:hint="eastAsia" w:ascii="宋体" w:hAnsi="宋体"/>
                <w:color w:val="auto"/>
                <w:szCs w:val="21"/>
              </w:rPr>
            </w:pPr>
            <w:r>
              <w:rPr>
                <w:rFonts w:hint="eastAsia" w:ascii="宋体" w:hAnsi="宋体"/>
                <w:color w:val="auto"/>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color w:val="auto"/>
                <w:szCs w:val="21"/>
              </w:rPr>
            </w:pPr>
          </w:p>
        </w:tc>
        <w:tc>
          <w:tcPr>
            <w:tcW w:w="1685" w:type="dxa"/>
            <w:noWrap w:val="0"/>
            <w:vAlign w:val="center"/>
          </w:tcPr>
          <w:p>
            <w:pPr>
              <w:adjustRightInd w:val="0"/>
              <w:snapToGrid w:val="0"/>
              <w:ind w:left="-88" w:leftChars="-42"/>
              <w:jc w:val="center"/>
              <w:rPr>
                <w:rFonts w:hint="eastAsia" w:ascii="宋体" w:hAnsi="宋体"/>
                <w:color w:val="auto"/>
                <w:szCs w:val="21"/>
              </w:rPr>
            </w:pPr>
          </w:p>
        </w:tc>
        <w:tc>
          <w:tcPr>
            <w:tcW w:w="1948" w:type="dxa"/>
            <w:noWrap w:val="0"/>
            <w:vAlign w:val="center"/>
          </w:tcPr>
          <w:p>
            <w:pPr>
              <w:adjustRightInd w:val="0"/>
              <w:snapToGrid w:val="0"/>
              <w:ind w:left="-88" w:leftChars="-42"/>
              <w:jc w:val="center"/>
              <w:rPr>
                <w:rFonts w:hint="eastAsia" w:ascii="宋体" w:hAnsi="宋体"/>
                <w:color w:val="auto"/>
                <w:szCs w:val="21"/>
              </w:rPr>
            </w:pPr>
          </w:p>
        </w:tc>
        <w:tc>
          <w:tcPr>
            <w:tcW w:w="2600" w:type="dxa"/>
            <w:noWrap w:val="0"/>
            <w:vAlign w:val="center"/>
          </w:tcPr>
          <w:p>
            <w:pPr>
              <w:adjustRightInd w:val="0"/>
              <w:snapToGrid w:val="0"/>
              <w:ind w:left="-88" w:leftChars="-42"/>
              <w:jc w:val="center"/>
              <w:rPr>
                <w:rFonts w:hint="eastAsia" w:ascii="宋体" w:hAnsi="宋体"/>
                <w:color w:val="auto"/>
                <w:szCs w:val="21"/>
              </w:rPr>
            </w:pPr>
          </w:p>
        </w:tc>
        <w:tc>
          <w:tcPr>
            <w:tcW w:w="1214" w:type="dxa"/>
            <w:noWrap w:val="0"/>
            <w:vAlign w:val="center"/>
          </w:tcPr>
          <w:p>
            <w:pPr>
              <w:adjustRightInd w:val="0"/>
              <w:snapToGrid w:val="0"/>
              <w:ind w:left="-88" w:leftChars="-42"/>
              <w:jc w:val="center"/>
              <w:rPr>
                <w:rFonts w:hint="eastAsia" w:ascii="宋体" w:hAnsi="宋体"/>
                <w:color w:val="auto"/>
                <w:szCs w:val="21"/>
              </w:rPr>
            </w:pPr>
          </w:p>
        </w:tc>
        <w:tc>
          <w:tcPr>
            <w:tcW w:w="661" w:type="dxa"/>
            <w:noWrap w:val="0"/>
            <w:vAlign w:val="center"/>
          </w:tcPr>
          <w:p>
            <w:pPr>
              <w:adjustRightInd w:val="0"/>
              <w:snapToGrid w:val="0"/>
              <w:ind w:left="-88" w:leftChars="-42"/>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color w:val="auto"/>
                <w:szCs w:val="21"/>
              </w:rPr>
            </w:pPr>
          </w:p>
        </w:tc>
        <w:tc>
          <w:tcPr>
            <w:tcW w:w="1685" w:type="dxa"/>
            <w:noWrap w:val="0"/>
            <w:vAlign w:val="center"/>
          </w:tcPr>
          <w:p>
            <w:pPr>
              <w:adjustRightInd w:val="0"/>
              <w:snapToGrid w:val="0"/>
              <w:ind w:left="-88" w:leftChars="-42"/>
              <w:jc w:val="center"/>
              <w:rPr>
                <w:rFonts w:hint="eastAsia" w:ascii="宋体" w:hAnsi="宋体"/>
                <w:color w:val="auto"/>
                <w:szCs w:val="21"/>
              </w:rPr>
            </w:pPr>
          </w:p>
        </w:tc>
        <w:tc>
          <w:tcPr>
            <w:tcW w:w="1948" w:type="dxa"/>
            <w:noWrap w:val="0"/>
            <w:vAlign w:val="center"/>
          </w:tcPr>
          <w:p>
            <w:pPr>
              <w:adjustRightInd w:val="0"/>
              <w:snapToGrid w:val="0"/>
              <w:ind w:left="-88" w:leftChars="-42"/>
              <w:jc w:val="center"/>
              <w:rPr>
                <w:rFonts w:hint="eastAsia" w:ascii="宋体" w:hAnsi="宋体"/>
                <w:color w:val="auto"/>
                <w:szCs w:val="21"/>
              </w:rPr>
            </w:pPr>
          </w:p>
        </w:tc>
        <w:tc>
          <w:tcPr>
            <w:tcW w:w="2600" w:type="dxa"/>
            <w:noWrap w:val="0"/>
            <w:vAlign w:val="center"/>
          </w:tcPr>
          <w:p>
            <w:pPr>
              <w:adjustRightInd w:val="0"/>
              <w:snapToGrid w:val="0"/>
              <w:ind w:left="-88" w:leftChars="-42"/>
              <w:jc w:val="center"/>
              <w:rPr>
                <w:rFonts w:hint="eastAsia" w:ascii="宋体" w:hAnsi="宋体"/>
                <w:color w:val="auto"/>
                <w:szCs w:val="21"/>
              </w:rPr>
            </w:pPr>
          </w:p>
        </w:tc>
        <w:tc>
          <w:tcPr>
            <w:tcW w:w="1214" w:type="dxa"/>
            <w:noWrap w:val="0"/>
            <w:vAlign w:val="center"/>
          </w:tcPr>
          <w:p>
            <w:pPr>
              <w:adjustRightInd w:val="0"/>
              <w:snapToGrid w:val="0"/>
              <w:ind w:left="-88" w:leftChars="-42"/>
              <w:jc w:val="center"/>
              <w:rPr>
                <w:rFonts w:hint="eastAsia" w:ascii="宋体" w:hAnsi="宋体"/>
                <w:color w:val="auto"/>
                <w:szCs w:val="21"/>
              </w:rPr>
            </w:pPr>
          </w:p>
        </w:tc>
        <w:tc>
          <w:tcPr>
            <w:tcW w:w="661" w:type="dxa"/>
            <w:noWrap w:val="0"/>
            <w:vAlign w:val="center"/>
          </w:tcPr>
          <w:p>
            <w:pPr>
              <w:adjustRightInd w:val="0"/>
              <w:snapToGrid w:val="0"/>
              <w:ind w:left="-88" w:leftChars="-42"/>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color w:val="auto"/>
                <w:szCs w:val="21"/>
              </w:rPr>
            </w:pPr>
          </w:p>
        </w:tc>
        <w:tc>
          <w:tcPr>
            <w:tcW w:w="1685" w:type="dxa"/>
            <w:noWrap w:val="0"/>
            <w:vAlign w:val="center"/>
          </w:tcPr>
          <w:p>
            <w:pPr>
              <w:adjustRightInd w:val="0"/>
              <w:snapToGrid w:val="0"/>
              <w:ind w:left="-88" w:leftChars="-42"/>
              <w:jc w:val="center"/>
              <w:rPr>
                <w:rFonts w:hint="eastAsia" w:ascii="宋体" w:hAnsi="宋体"/>
                <w:color w:val="auto"/>
                <w:szCs w:val="21"/>
              </w:rPr>
            </w:pPr>
          </w:p>
        </w:tc>
        <w:tc>
          <w:tcPr>
            <w:tcW w:w="1948" w:type="dxa"/>
            <w:noWrap w:val="0"/>
            <w:vAlign w:val="center"/>
          </w:tcPr>
          <w:p>
            <w:pPr>
              <w:adjustRightInd w:val="0"/>
              <w:snapToGrid w:val="0"/>
              <w:ind w:left="-88" w:leftChars="-42"/>
              <w:jc w:val="center"/>
              <w:rPr>
                <w:rFonts w:hint="eastAsia" w:ascii="宋体" w:hAnsi="宋体"/>
                <w:color w:val="auto"/>
                <w:szCs w:val="21"/>
              </w:rPr>
            </w:pPr>
          </w:p>
        </w:tc>
        <w:tc>
          <w:tcPr>
            <w:tcW w:w="2600" w:type="dxa"/>
            <w:noWrap w:val="0"/>
            <w:vAlign w:val="center"/>
          </w:tcPr>
          <w:p>
            <w:pPr>
              <w:adjustRightInd w:val="0"/>
              <w:snapToGrid w:val="0"/>
              <w:ind w:left="-88" w:leftChars="-42"/>
              <w:jc w:val="center"/>
              <w:rPr>
                <w:rFonts w:hint="eastAsia" w:ascii="宋体" w:hAnsi="宋体"/>
                <w:color w:val="auto"/>
                <w:szCs w:val="21"/>
              </w:rPr>
            </w:pPr>
          </w:p>
        </w:tc>
        <w:tc>
          <w:tcPr>
            <w:tcW w:w="1214" w:type="dxa"/>
            <w:noWrap w:val="0"/>
            <w:vAlign w:val="center"/>
          </w:tcPr>
          <w:p>
            <w:pPr>
              <w:adjustRightInd w:val="0"/>
              <w:snapToGrid w:val="0"/>
              <w:ind w:left="-88" w:leftChars="-42"/>
              <w:jc w:val="center"/>
              <w:rPr>
                <w:rFonts w:hint="eastAsia" w:ascii="宋体" w:hAnsi="宋体"/>
                <w:color w:val="auto"/>
                <w:szCs w:val="21"/>
              </w:rPr>
            </w:pPr>
          </w:p>
        </w:tc>
        <w:tc>
          <w:tcPr>
            <w:tcW w:w="661" w:type="dxa"/>
            <w:noWrap w:val="0"/>
            <w:vAlign w:val="center"/>
          </w:tcPr>
          <w:p>
            <w:pPr>
              <w:adjustRightInd w:val="0"/>
              <w:snapToGrid w:val="0"/>
              <w:ind w:left="-88" w:leftChars="-42"/>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color w:val="auto"/>
                <w:szCs w:val="21"/>
              </w:rPr>
            </w:pPr>
          </w:p>
        </w:tc>
        <w:tc>
          <w:tcPr>
            <w:tcW w:w="1685" w:type="dxa"/>
            <w:noWrap w:val="0"/>
            <w:vAlign w:val="center"/>
          </w:tcPr>
          <w:p>
            <w:pPr>
              <w:adjustRightInd w:val="0"/>
              <w:snapToGrid w:val="0"/>
              <w:ind w:left="-88" w:leftChars="-42"/>
              <w:jc w:val="center"/>
              <w:rPr>
                <w:rFonts w:hint="eastAsia" w:ascii="宋体" w:hAnsi="宋体"/>
                <w:color w:val="auto"/>
                <w:szCs w:val="21"/>
              </w:rPr>
            </w:pPr>
          </w:p>
        </w:tc>
        <w:tc>
          <w:tcPr>
            <w:tcW w:w="1948" w:type="dxa"/>
            <w:noWrap w:val="0"/>
            <w:vAlign w:val="center"/>
          </w:tcPr>
          <w:p>
            <w:pPr>
              <w:adjustRightInd w:val="0"/>
              <w:snapToGrid w:val="0"/>
              <w:ind w:left="-88" w:leftChars="-42"/>
              <w:jc w:val="center"/>
              <w:rPr>
                <w:rFonts w:hint="eastAsia" w:ascii="宋体" w:hAnsi="宋体"/>
                <w:color w:val="auto"/>
                <w:szCs w:val="21"/>
              </w:rPr>
            </w:pPr>
          </w:p>
        </w:tc>
        <w:tc>
          <w:tcPr>
            <w:tcW w:w="2600" w:type="dxa"/>
            <w:noWrap w:val="0"/>
            <w:vAlign w:val="center"/>
          </w:tcPr>
          <w:p>
            <w:pPr>
              <w:adjustRightInd w:val="0"/>
              <w:snapToGrid w:val="0"/>
              <w:ind w:left="-88" w:leftChars="-42"/>
              <w:jc w:val="center"/>
              <w:rPr>
                <w:rFonts w:hint="eastAsia" w:ascii="宋体" w:hAnsi="宋体"/>
                <w:color w:val="auto"/>
                <w:szCs w:val="21"/>
              </w:rPr>
            </w:pPr>
          </w:p>
        </w:tc>
        <w:tc>
          <w:tcPr>
            <w:tcW w:w="1214" w:type="dxa"/>
            <w:noWrap w:val="0"/>
            <w:vAlign w:val="center"/>
          </w:tcPr>
          <w:p>
            <w:pPr>
              <w:adjustRightInd w:val="0"/>
              <w:snapToGrid w:val="0"/>
              <w:ind w:left="-88" w:leftChars="-42"/>
              <w:jc w:val="center"/>
              <w:rPr>
                <w:rFonts w:hint="eastAsia" w:ascii="宋体" w:hAnsi="宋体"/>
                <w:color w:val="auto"/>
                <w:szCs w:val="21"/>
              </w:rPr>
            </w:pPr>
          </w:p>
        </w:tc>
        <w:tc>
          <w:tcPr>
            <w:tcW w:w="661" w:type="dxa"/>
            <w:noWrap w:val="0"/>
            <w:vAlign w:val="center"/>
          </w:tcPr>
          <w:p>
            <w:pPr>
              <w:adjustRightInd w:val="0"/>
              <w:snapToGrid w:val="0"/>
              <w:ind w:left="-88" w:leftChars="-42"/>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color w:val="auto"/>
                <w:szCs w:val="21"/>
              </w:rPr>
            </w:pPr>
          </w:p>
        </w:tc>
        <w:tc>
          <w:tcPr>
            <w:tcW w:w="1685" w:type="dxa"/>
            <w:noWrap w:val="0"/>
            <w:vAlign w:val="center"/>
          </w:tcPr>
          <w:p>
            <w:pPr>
              <w:adjustRightInd w:val="0"/>
              <w:snapToGrid w:val="0"/>
              <w:ind w:left="-88" w:leftChars="-42"/>
              <w:jc w:val="center"/>
              <w:rPr>
                <w:rFonts w:hint="eastAsia" w:ascii="宋体" w:hAnsi="宋体"/>
                <w:color w:val="auto"/>
                <w:szCs w:val="21"/>
              </w:rPr>
            </w:pPr>
          </w:p>
        </w:tc>
        <w:tc>
          <w:tcPr>
            <w:tcW w:w="1948" w:type="dxa"/>
            <w:noWrap w:val="0"/>
            <w:vAlign w:val="center"/>
          </w:tcPr>
          <w:p>
            <w:pPr>
              <w:adjustRightInd w:val="0"/>
              <w:snapToGrid w:val="0"/>
              <w:ind w:left="-88" w:leftChars="-42"/>
              <w:jc w:val="center"/>
              <w:rPr>
                <w:rFonts w:hint="eastAsia" w:ascii="宋体" w:hAnsi="宋体"/>
                <w:color w:val="auto"/>
                <w:szCs w:val="21"/>
              </w:rPr>
            </w:pPr>
          </w:p>
        </w:tc>
        <w:tc>
          <w:tcPr>
            <w:tcW w:w="2600" w:type="dxa"/>
            <w:noWrap w:val="0"/>
            <w:vAlign w:val="center"/>
          </w:tcPr>
          <w:p>
            <w:pPr>
              <w:adjustRightInd w:val="0"/>
              <w:snapToGrid w:val="0"/>
              <w:ind w:left="-88" w:leftChars="-42"/>
              <w:jc w:val="center"/>
              <w:rPr>
                <w:rFonts w:hint="eastAsia" w:ascii="宋体" w:hAnsi="宋体"/>
                <w:color w:val="auto"/>
                <w:szCs w:val="21"/>
              </w:rPr>
            </w:pPr>
          </w:p>
        </w:tc>
        <w:tc>
          <w:tcPr>
            <w:tcW w:w="1214" w:type="dxa"/>
            <w:noWrap w:val="0"/>
            <w:vAlign w:val="center"/>
          </w:tcPr>
          <w:p>
            <w:pPr>
              <w:adjustRightInd w:val="0"/>
              <w:snapToGrid w:val="0"/>
              <w:ind w:left="-88" w:leftChars="-42"/>
              <w:jc w:val="center"/>
              <w:rPr>
                <w:rFonts w:hint="eastAsia" w:ascii="宋体" w:hAnsi="宋体"/>
                <w:color w:val="auto"/>
                <w:szCs w:val="21"/>
              </w:rPr>
            </w:pPr>
          </w:p>
        </w:tc>
        <w:tc>
          <w:tcPr>
            <w:tcW w:w="661" w:type="dxa"/>
            <w:noWrap w:val="0"/>
            <w:vAlign w:val="center"/>
          </w:tcPr>
          <w:p>
            <w:pPr>
              <w:adjustRightInd w:val="0"/>
              <w:snapToGrid w:val="0"/>
              <w:ind w:left="-88" w:leftChars="-42"/>
              <w:jc w:val="center"/>
              <w:rPr>
                <w:rFonts w:hint="eastAsia" w:ascii="宋体" w:hAnsi="宋体"/>
                <w:color w:val="auto"/>
                <w:szCs w:val="21"/>
              </w:rPr>
            </w:pPr>
          </w:p>
        </w:tc>
      </w:tr>
    </w:tbl>
    <w:p>
      <w:pPr>
        <w:adjustRightInd w:val="0"/>
        <w:snapToGrid w:val="0"/>
        <w:spacing w:line="360" w:lineRule="auto"/>
        <w:ind w:left="-88" w:leftChars="-42"/>
        <w:rPr>
          <w:rFonts w:hint="eastAsia" w:ascii="仿宋_GB2312" w:hAnsi="宋体" w:eastAsia="仿宋_GB2312"/>
          <w:color w:val="auto"/>
          <w:szCs w:val="21"/>
        </w:rPr>
      </w:pPr>
      <w:r>
        <w:rPr>
          <w:rFonts w:hint="eastAsia" w:ascii="仿宋_GB2312" w:hAnsi="宋体" w:eastAsia="仿宋_GB2312"/>
          <w:color w:val="auto"/>
          <w:szCs w:val="21"/>
        </w:rPr>
        <w:t>说明：1、“响应与偏离”应注明“响应”或“偏离”。</w:t>
      </w:r>
    </w:p>
    <w:p>
      <w:pPr>
        <w:adjustRightInd w:val="0"/>
        <w:snapToGrid w:val="0"/>
        <w:spacing w:line="360" w:lineRule="auto"/>
        <w:rPr>
          <w:rFonts w:hint="eastAsia" w:ascii="仿宋_GB2312" w:hAnsi="宋体" w:eastAsia="仿宋_GB2312"/>
          <w:color w:val="auto"/>
          <w:szCs w:val="21"/>
        </w:rPr>
      </w:pPr>
      <w:r>
        <w:rPr>
          <w:rFonts w:hint="eastAsia" w:ascii="仿宋_GB2312" w:hAnsi="宋体" w:eastAsia="仿宋_GB2312"/>
          <w:b/>
          <w:color w:val="auto"/>
          <w:szCs w:val="21"/>
        </w:rPr>
        <w:t xml:space="preserve">     </w:t>
      </w:r>
      <w:r>
        <w:rPr>
          <w:rFonts w:hint="eastAsia" w:ascii="仿宋_GB2312" w:hAnsi="宋体" w:eastAsia="仿宋_GB2312"/>
          <w:color w:val="auto"/>
          <w:szCs w:val="21"/>
        </w:rPr>
        <w:t>2、属磋商文件规定可能变动的内容在“说明”栏中注明。</w:t>
      </w:r>
    </w:p>
    <w:p>
      <w:pPr>
        <w:pStyle w:val="12"/>
        <w:adjustRightInd w:val="0"/>
        <w:snapToGrid w:val="0"/>
        <w:spacing w:line="360" w:lineRule="auto"/>
        <w:outlineLvl w:val="0"/>
        <w:rPr>
          <w:rFonts w:hint="eastAsia" w:ascii="宋体" w:hAnsi="宋体"/>
          <w:color w:val="auto"/>
          <w:sz w:val="21"/>
          <w:szCs w:val="21"/>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12"/>
        <w:adjustRightInd w:val="0"/>
        <w:snapToGrid w:val="0"/>
        <w:spacing w:line="360" w:lineRule="auto"/>
        <w:outlineLvl w:val="0"/>
        <w:rPr>
          <w:rFonts w:hint="eastAsia" w:ascii="宋体" w:hAnsi="宋体"/>
          <w:bCs/>
          <w:color w:val="auto"/>
          <w:sz w:val="21"/>
          <w:szCs w:val="21"/>
        </w:rPr>
      </w:pPr>
      <w:r>
        <w:rPr>
          <w:rFonts w:hint="eastAsia" w:ascii="宋体" w:hAnsi="宋体"/>
          <w:color w:val="auto"/>
          <w:sz w:val="21"/>
          <w:szCs w:val="21"/>
        </w:rPr>
        <w:t>供应商名称：</w:t>
      </w:r>
      <w:r>
        <w:rPr>
          <w:rFonts w:hint="eastAsia" w:ascii="宋体" w:hAnsi="宋体"/>
          <w:color w:val="auto"/>
          <w:sz w:val="21"/>
          <w:szCs w:val="21"/>
          <w:u w:val="single"/>
        </w:rPr>
        <w:t xml:space="preserve">                   </w:t>
      </w:r>
    </w:p>
    <w:p>
      <w:pPr>
        <w:adjustRightInd w:val="0"/>
        <w:snapToGrid w:val="0"/>
        <w:spacing w:line="360" w:lineRule="auto"/>
        <w:outlineLvl w:val="0"/>
        <w:rPr>
          <w:rFonts w:hint="eastAsia"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pPr>
        <w:adjustRightInd w:val="0"/>
        <w:snapToGrid w:val="0"/>
        <w:spacing w:line="360" w:lineRule="auto"/>
        <w:outlineLvl w:val="0"/>
        <w:rPr>
          <w:rFonts w:hint="eastAsia" w:ascii="宋体" w:hAnsi="宋体"/>
          <w:color w:val="auto"/>
          <w:szCs w:val="21"/>
        </w:rPr>
      </w:pPr>
      <w:r>
        <w:rPr>
          <w:rFonts w:hint="eastAsia" w:ascii="宋体" w:hAnsi="宋体"/>
          <w:color w:val="auto"/>
          <w:szCs w:val="21"/>
        </w:rPr>
        <w:t xml:space="preserve">日          期： </w:t>
      </w:r>
      <w:r>
        <w:rPr>
          <w:rFonts w:hint="eastAsia" w:ascii="宋体" w:hAnsi="宋体"/>
          <w:color w:val="auto"/>
          <w:szCs w:val="21"/>
          <w:u w:val="single"/>
        </w:rPr>
        <w:t xml:space="preserve">     </w:t>
      </w:r>
      <w:r>
        <w:rPr>
          <w:rFonts w:hint="eastAsia" w:ascii="宋体" w:hAnsi="宋体"/>
          <w:color w:val="auto"/>
          <w:szCs w:val="21"/>
        </w:rPr>
        <w:t xml:space="preserve"> 年 </w:t>
      </w:r>
      <w:r>
        <w:rPr>
          <w:rFonts w:hint="eastAsia" w:ascii="宋体" w:hAnsi="宋体"/>
          <w:color w:val="auto"/>
          <w:szCs w:val="21"/>
          <w:u w:val="single"/>
        </w:rPr>
        <w:t xml:space="preserve">    </w:t>
      </w:r>
      <w:r>
        <w:rPr>
          <w:rFonts w:hint="eastAsia" w:ascii="宋体" w:hAnsi="宋体"/>
          <w:color w:val="auto"/>
          <w:szCs w:val="21"/>
        </w:rPr>
        <w:t xml:space="preserve"> 月 </w:t>
      </w:r>
      <w:r>
        <w:rPr>
          <w:rFonts w:hint="eastAsia" w:ascii="宋体" w:hAnsi="宋体"/>
          <w:color w:val="auto"/>
          <w:szCs w:val="21"/>
          <w:u w:val="single"/>
        </w:rPr>
        <w:t xml:space="preserve">   </w:t>
      </w:r>
      <w:r>
        <w:rPr>
          <w:rFonts w:hint="eastAsia" w:ascii="宋体" w:hAnsi="宋体"/>
          <w:color w:val="auto"/>
          <w:szCs w:val="21"/>
        </w:rPr>
        <w:t xml:space="preserve"> 日</w:t>
      </w:r>
    </w:p>
    <w:p>
      <w:pPr>
        <w:tabs>
          <w:tab w:val="left" w:pos="3600"/>
        </w:tabs>
        <w:adjustRightInd w:val="0"/>
        <w:snapToGrid w:val="0"/>
        <w:jc w:val="both"/>
        <w:rPr>
          <w:rFonts w:hint="eastAsia" w:ascii="黑体" w:eastAsia="黑体"/>
          <w:b/>
          <w:color w:val="auto"/>
          <w:sz w:val="32"/>
          <w:szCs w:val="32"/>
        </w:rPr>
      </w:pPr>
    </w:p>
    <w:p>
      <w:pPr>
        <w:rPr>
          <w:rFonts w:hint="eastAsia" w:ascii="黑体" w:eastAsia="黑体"/>
          <w:b/>
          <w:bCs/>
          <w:color w:val="auto"/>
          <w:sz w:val="32"/>
          <w:szCs w:val="32"/>
        </w:rPr>
      </w:pPr>
    </w:p>
    <w:p>
      <w:pPr>
        <w:rPr>
          <w:rFonts w:hint="eastAsia" w:ascii="黑体" w:eastAsia="黑体"/>
          <w:b/>
          <w:bCs/>
          <w:color w:val="auto"/>
          <w:sz w:val="32"/>
          <w:szCs w:val="32"/>
        </w:rPr>
      </w:pPr>
    </w:p>
    <w:p>
      <w:pPr>
        <w:pStyle w:val="5"/>
        <w:rPr>
          <w:rFonts w:hint="eastAsia" w:ascii="黑体" w:eastAsia="黑体"/>
          <w:b w:val="0"/>
          <w:bCs w:val="0"/>
          <w:color w:val="auto"/>
          <w:sz w:val="32"/>
          <w:szCs w:val="32"/>
        </w:rPr>
      </w:pPr>
    </w:p>
    <w:p>
      <w:pPr>
        <w:rPr>
          <w:rFonts w:hint="eastAsia" w:ascii="黑体" w:eastAsia="黑体"/>
          <w:b/>
          <w:bCs/>
          <w:color w:val="auto"/>
          <w:sz w:val="32"/>
          <w:szCs w:val="32"/>
        </w:rPr>
      </w:pPr>
    </w:p>
    <w:p>
      <w:pPr>
        <w:pStyle w:val="5"/>
        <w:rPr>
          <w:rFonts w:hint="eastAsia" w:ascii="黑体" w:eastAsia="黑体"/>
          <w:b w:val="0"/>
          <w:bCs w:val="0"/>
          <w:color w:val="auto"/>
          <w:sz w:val="32"/>
          <w:szCs w:val="32"/>
        </w:rPr>
      </w:pPr>
    </w:p>
    <w:p>
      <w:pPr>
        <w:rPr>
          <w:rFonts w:hint="eastAsia" w:ascii="黑体" w:eastAsia="黑体"/>
          <w:b/>
          <w:bCs/>
          <w:color w:val="auto"/>
          <w:sz w:val="32"/>
          <w:szCs w:val="32"/>
        </w:rPr>
      </w:pPr>
    </w:p>
    <w:p>
      <w:pPr>
        <w:pStyle w:val="5"/>
        <w:rPr>
          <w:rFonts w:hint="eastAsia"/>
          <w:color w:val="auto"/>
        </w:rPr>
      </w:pPr>
    </w:p>
    <w:p>
      <w:pPr>
        <w:ind w:firstLine="1926" w:firstLineChars="600"/>
        <w:rPr>
          <w:rFonts w:hint="eastAsia" w:ascii="黑体" w:hAnsi="宋体" w:eastAsia="黑体"/>
          <w:b/>
          <w:color w:val="auto"/>
          <w:sz w:val="32"/>
          <w:szCs w:val="32"/>
        </w:rPr>
      </w:pPr>
      <w:r>
        <w:rPr>
          <w:rFonts w:hint="eastAsia" w:ascii="黑体" w:eastAsia="黑体"/>
          <w:b/>
          <w:bCs/>
          <w:color w:val="auto"/>
          <w:sz w:val="32"/>
          <w:szCs w:val="32"/>
        </w:rPr>
        <w:t>六、</w:t>
      </w:r>
      <w:r>
        <w:rPr>
          <w:rFonts w:hint="eastAsia" w:ascii="黑体" w:hAnsi="宋体" w:eastAsia="黑体"/>
          <w:b/>
          <w:color w:val="auto"/>
          <w:sz w:val="32"/>
          <w:szCs w:val="32"/>
        </w:rPr>
        <w:t>报价一览表及分项价格表</w:t>
      </w:r>
    </w:p>
    <w:p>
      <w:pPr>
        <w:tabs>
          <w:tab w:val="left" w:pos="1680"/>
        </w:tabs>
        <w:adjustRightInd w:val="0"/>
        <w:snapToGrid w:val="0"/>
        <w:rPr>
          <w:rFonts w:hint="eastAsia" w:ascii="黑体" w:hAnsi="宋体" w:eastAsia="黑体"/>
          <w:color w:val="auto"/>
          <w:sz w:val="30"/>
          <w:szCs w:val="30"/>
        </w:rPr>
      </w:pPr>
      <w:r>
        <w:rPr>
          <w:rFonts w:hint="eastAsia" w:ascii="黑体" w:hAnsi="宋体" w:eastAsia="黑体"/>
          <w:color w:val="auto"/>
          <w:sz w:val="30"/>
          <w:szCs w:val="30"/>
        </w:rPr>
        <w:t>附件</w:t>
      </w:r>
      <w:r>
        <w:rPr>
          <w:rFonts w:hint="eastAsia" w:ascii="黑体" w:hAnsi="宋体" w:eastAsia="黑体"/>
          <w:color w:val="auto"/>
          <w:sz w:val="30"/>
          <w:szCs w:val="30"/>
          <w:lang w:val="en-US" w:eastAsia="zh-CN"/>
        </w:rPr>
        <w:t>9</w:t>
      </w:r>
      <w:r>
        <w:rPr>
          <w:rFonts w:ascii="黑体" w:hAnsi="宋体" w:eastAsia="黑体"/>
          <w:color w:val="auto"/>
          <w:sz w:val="30"/>
          <w:szCs w:val="30"/>
        </w:rPr>
        <w:tab/>
      </w:r>
    </w:p>
    <w:p>
      <w:pPr>
        <w:jc w:val="center"/>
        <w:rPr>
          <w:rFonts w:ascii="黑体" w:hAnsi="宋体" w:eastAsia="黑体"/>
          <w:color w:val="auto"/>
          <w:sz w:val="30"/>
          <w:szCs w:val="30"/>
        </w:rPr>
      </w:pPr>
      <w:r>
        <w:rPr>
          <w:rFonts w:hint="eastAsia" w:ascii="黑体" w:hAnsi="宋体" w:eastAsia="黑体"/>
          <w:bCs/>
          <w:color w:val="auto"/>
          <w:sz w:val="30"/>
          <w:szCs w:val="30"/>
        </w:rPr>
        <w:t>报价一览表</w:t>
      </w:r>
    </w:p>
    <w:p>
      <w:pPr>
        <w:adjustRightInd w:val="0"/>
        <w:snapToGrid w:val="0"/>
        <w:rPr>
          <w:rFonts w:hint="eastAsia" w:ascii="黑体" w:hAnsi="宋体" w:eastAsia="黑体"/>
          <w:color w:val="auto"/>
          <w:sz w:val="24"/>
        </w:rPr>
      </w:pPr>
    </w:p>
    <w:p>
      <w:pPr>
        <w:adjustRightInd w:val="0"/>
        <w:snapToGrid w:val="0"/>
        <w:ind w:firstLine="105" w:firstLineChars="50"/>
        <w:rPr>
          <w:rFonts w:hint="eastAsia" w:ascii="宋体" w:hAnsi="宋体"/>
          <w:color w:val="auto"/>
          <w:szCs w:val="21"/>
        </w:rPr>
      </w:pPr>
      <w:r>
        <w:rPr>
          <w:rFonts w:hint="eastAsia" w:ascii="宋体" w:hAnsi="宋体"/>
          <w:color w:val="auto"/>
          <w:szCs w:val="21"/>
          <w:lang w:val="en-US" w:eastAsia="zh-CN"/>
        </w:rPr>
        <w:t>委托代理</w:t>
      </w:r>
      <w:r>
        <w:rPr>
          <w:rFonts w:hint="eastAsia" w:ascii="宋体" w:hAnsi="宋体"/>
          <w:color w:val="auto"/>
          <w:szCs w:val="21"/>
        </w:rPr>
        <w:t>编号：</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b/>
          <w:color w:val="auto"/>
        </w:rPr>
        <w:t>金额单位：元</w:t>
      </w:r>
    </w:p>
    <w:tbl>
      <w:tblPr>
        <w:tblStyle w:val="19"/>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7"/>
        <w:gridCol w:w="29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26" w:hRule="atLeast"/>
        </w:trPr>
        <w:tc>
          <w:tcPr>
            <w:tcW w:w="6487"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投标总报价</w:t>
            </w:r>
            <w:r>
              <w:rPr>
                <w:rFonts w:hint="eastAsia" w:ascii="宋体" w:hAnsi="宋体"/>
                <w:color w:val="auto"/>
                <w:highlight w:val="none"/>
              </w:rPr>
              <w:t>（已包含价格折扣）</w:t>
            </w:r>
            <w:r>
              <w:rPr>
                <w:rFonts w:hint="eastAsia" w:ascii="宋体" w:hAnsi="宋体"/>
                <w:color w:val="auto"/>
                <w:szCs w:val="21"/>
                <w:highlight w:val="none"/>
              </w:rPr>
              <w:t>人民币（大写）：</w:t>
            </w:r>
          </w:p>
        </w:tc>
        <w:tc>
          <w:tcPr>
            <w:tcW w:w="2977"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（小写）：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9464" w:type="dxa"/>
            <w:gridSpan w:val="2"/>
            <w:noWrap w:val="0"/>
            <w:vAlign w:val="top"/>
          </w:tcPr>
          <w:p>
            <w:pPr>
              <w:adjustRightInd w:val="0"/>
              <w:snapToGrid w:val="0"/>
              <w:rPr>
                <w:rFonts w:hint="eastAsia" w:ascii="宋体" w:hAnsi="宋体"/>
                <w:b/>
                <w:color w:val="auto"/>
                <w:szCs w:val="21"/>
                <w:highlight w:val="none"/>
              </w:rPr>
            </w:pPr>
          </w:p>
          <w:p>
            <w:pPr>
              <w:adjustRightInd w:val="0"/>
              <w:snapToGrid w:val="0"/>
              <w:rPr>
                <w:rFonts w:hint="eastAsia" w:ascii="宋体" w:hAnsi="宋体"/>
                <w:color w:val="auto"/>
                <w:szCs w:val="21"/>
                <w:highlight w:val="none"/>
                <w:u w:val="single"/>
              </w:rPr>
            </w:pPr>
            <w:r>
              <w:rPr>
                <w:rFonts w:hint="eastAsia" w:ascii="宋体" w:hAnsi="宋体"/>
                <w:b/>
                <w:color w:val="auto"/>
                <w:szCs w:val="21"/>
                <w:highlight w:val="none"/>
              </w:rPr>
              <w:t>投标保证金：</w:t>
            </w:r>
            <w:r>
              <w:rPr>
                <w:rFonts w:hint="eastAsia" w:ascii="宋体" w:hAnsi="宋体"/>
                <w:color w:val="auto"/>
                <w:szCs w:val="21"/>
                <w:highlight w:val="none"/>
              </w:rPr>
              <w:t>金额：</w:t>
            </w:r>
            <w:r>
              <w:rPr>
                <w:rFonts w:hint="eastAsia" w:ascii="宋体" w:hAnsi="宋体"/>
                <w:color w:val="auto"/>
                <w:szCs w:val="21"/>
                <w:highlight w:val="none"/>
                <w:u w:val="single"/>
              </w:rPr>
              <w:t xml:space="preserve">                                      </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 xml:space="preserve"> 交纳形式：□银行转账  □银行汇票  □银行电汇    </w:t>
            </w:r>
          </w:p>
          <w:p>
            <w:pPr>
              <w:adjustRightInd w:val="0"/>
              <w:snapToGrid w:val="0"/>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9464" w:type="dxa"/>
            <w:gridSpan w:val="2"/>
            <w:noWrap w:val="0"/>
            <w:vAlign w:val="top"/>
          </w:tcPr>
          <w:p>
            <w:pPr>
              <w:spacing w:line="400" w:lineRule="exact"/>
              <w:rPr>
                <w:rFonts w:hint="eastAsia" w:ascii="宋体" w:hAnsi="宋体"/>
                <w:color w:val="auto"/>
                <w:szCs w:val="21"/>
                <w:highlight w:val="none"/>
              </w:rPr>
            </w:pPr>
            <w:r>
              <w:rPr>
                <w:rFonts w:hint="eastAsia" w:ascii="宋体" w:hAnsi="宋体"/>
                <w:color w:val="auto"/>
                <w:szCs w:val="21"/>
                <w:highlight w:val="none"/>
              </w:rPr>
              <w:t>其他事项申明：</w:t>
            </w: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tc>
      </w:tr>
    </w:tbl>
    <w:p>
      <w:pPr>
        <w:adjustRightInd w:val="0"/>
        <w:snapToGrid w:val="0"/>
        <w:spacing w:line="360" w:lineRule="auto"/>
        <w:ind w:left="-88" w:leftChars="-42"/>
        <w:rPr>
          <w:rFonts w:hint="eastAsia" w:ascii="宋体" w:hAnsi="宋体"/>
          <w:color w:val="auto"/>
          <w:szCs w:val="21"/>
        </w:rPr>
      </w:pPr>
    </w:p>
    <w:p>
      <w:pPr>
        <w:adjustRightInd w:val="0"/>
        <w:snapToGrid w:val="0"/>
        <w:spacing w:line="360" w:lineRule="auto"/>
        <w:rPr>
          <w:rFonts w:hint="eastAsia" w:ascii="宋体" w:hAnsi="宋体"/>
          <w:color w:val="auto"/>
          <w:szCs w:val="21"/>
        </w:rPr>
      </w:pPr>
      <w:r>
        <w:rPr>
          <w:rFonts w:hint="eastAsia" w:ascii="宋体" w:hAnsi="宋体"/>
          <w:color w:val="auto"/>
          <w:szCs w:val="21"/>
        </w:rPr>
        <w:t>供应商（盖单位章）：</w:t>
      </w:r>
    </w:p>
    <w:p>
      <w:pPr>
        <w:adjustRightInd w:val="0"/>
        <w:snapToGrid w:val="0"/>
        <w:spacing w:line="360" w:lineRule="auto"/>
        <w:rPr>
          <w:rFonts w:hint="eastAsia"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pPr>
        <w:adjustRightInd w:val="0"/>
        <w:snapToGrid w:val="0"/>
        <w:spacing w:line="360" w:lineRule="auto"/>
        <w:rPr>
          <w:rFonts w:hint="eastAsia"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rPr>
          <w:rFonts w:hint="eastAsia" w:ascii="黑体" w:eastAsia="黑体"/>
          <w:b/>
          <w:bCs/>
          <w:color w:val="auto"/>
          <w:sz w:val="32"/>
          <w:szCs w:val="32"/>
        </w:rPr>
      </w:pPr>
    </w:p>
    <w:p>
      <w:pPr>
        <w:ind w:firstLine="1926" w:firstLineChars="600"/>
        <w:rPr>
          <w:rFonts w:hint="eastAsia" w:ascii="黑体" w:eastAsia="黑体"/>
          <w:b/>
          <w:bCs/>
          <w:color w:val="auto"/>
          <w:sz w:val="32"/>
          <w:szCs w:val="32"/>
        </w:rPr>
      </w:pPr>
    </w:p>
    <w:p>
      <w:pPr>
        <w:spacing w:line="360" w:lineRule="exact"/>
        <w:ind w:firstLine="301" w:firstLineChars="100"/>
        <w:rPr>
          <w:rFonts w:hint="eastAsia" w:ascii="楷体_GB2312" w:eastAsia="楷体_GB2312"/>
          <w:color w:val="auto"/>
          <w:sz w:val="30"/>
          <w:szCs w:val="30"/>
        </w:rPr>
      </w:pPr>
    </w:p>
    <w:p>
      <w:pPr>
        <w:adjustRightInd w:val="0"/>
        <w:snapToGrid w:val="0"/>
        <w:jc w:val="center"/>
        <w:rPr>
          <w:rFonts w:hint="eastAsia" w:ascii="黑体" w:hAnsi="宋体" w:eastAsia="黑体"/>
          <w:bCs/>
          <w:color w:val="auto"/>
          <w:sz w:val="30"/>
          <w:szCs w:val="30"/>
        </w:rPr>
      </w:pPr>
    </w:p>
    <w:p>
      <w:pPr>
        <w:adjustRightInd w:val="0"/>
        <w:snapToGrid w:val="0"/>
        <w:rPr>
          <w:rFonts w:hint="eastAsia" w:ascii="宋体" w:hAnsi="宋体"/>
          <w:color w:val="auto"/>
          <w:szCs w:val="21"/>
        </w:rPr>
      </w:pPr>
    </w:p>
    <w:p>
      <w:pPr>
        <w:spacing w:line="360" w:lineRule="exact"/>
        <w:outlineLvl w:val="0"/>
        <w:rPr>
          <w:rFonts w:hint="eastAsia" w:ascii="宋体"/>
          <w:color w:val="auto"/>
        </w:rPr>
      </w:pPr>
    </w:p>
    <w:p>
      <w:pPr>
        <w:spacing w:line="360" w:lineRule="exact"/>
        <w:outlineLvl w:val="0"/>
        <w:rPr>
          <w:rFonts w:hint="eastAsia" w:ascii="宋体"/>
          <w:color w:val="auto"/>
        </w:rPr>
      </w:pPr>
    </w:p>
    <w:p>
      <w:pPr>
        <w:spacing w:line="360" w:lineRule="exact"/>
        <w:outlineLvl w:val="0"/>
        <w:rPr>
          <w:rFonts w:hint="eastAsia" w:ascii="宋体"/>
          <w:color w:val="auto"/>
        </w:rPr>
      </w:pPr>
    </w:p>
    <w:p>
      <w:pPr>
        <w:spacing w:line="360" w:lineRule="exact"/>
        <w:outlineLvl w:val="0"/>
        <w:rPr>
          <w:rFonts w:hint="eastAsia" w:ascii="宋体"/>
          <w:color w:val="auto"/>
        </w:rPr>
      </w:pPr>
    </w:p>
    <w:p>
      <w:pPr>
        <w:spacing w:line="360" w:lineRule="exact"/>
        <w:outlineLvl w:val="0"/>
        <w:rPr>
          <w:rFonts w:hint="eastAsia" w:ascii="宋体"/>
          <w:color w:val="auto"/>
        </w:rPr>
      </w:pPr>
    </w:p>
    <w:p>
      <w:pPr>
        <w:adjustRightInd w:val="0"/>
        <w:snapToGrid w:val="0"/>
        <w:spacing w:line="360" w:lineRule="auto"/>
        <w:ind w:left="-88" w:leftChars="-42"/>
        <w:rPr>
          <w:rFonts w:hint="eastAsia" w:ascii="宋体" w:hAnsi="宋体"/>
          <w:color w:val="auto"/>
          <w:szCs w:val="21"/>
        </w:rPr>
      </w:pPr>
    </w:p>
    <w:p>
      <w:pPr>
        <w:adjustRightInd w:val="0"/>
        <w:snapToGrid w:val="0"/>
        <w:spacing w:line="360" w:lineRule="auto"/>
        <w:ind w:left="-88" w:leftChars="-42"/>
        <w:rPr>
          <w:rFonts w:hint="eastAsia" w:ascii="宋体" w:hAnsi="宋体"/>
          <w:color w:val="auto"/>
          <w:szCs w:val="21"/>
        </w:rPr>
      </w:pPr>
    </w:p>
    <w:p>
      <w:pPr>
        <w:adjustRightInd w:val="0"/>
        <w:snapToGrid w:val="0"/>
        <w:rPr>
          <w:rFonts w:hint="eastAsia" w:ascii="黑体" w:hAnsi="宋体" w:eastAsia="黑体"/>
          <w:b/>
          <w:color w:val="auto"/>
          <w:sz w:val="28"/>
          <w:szCs w:val="28"/>
        </w:rPr>
      </w:pPr>
    </w:p>
    <w:p>
      <w:pPr>
        <w:adjustRightInd w:val="0"/>
        <w:snapToGrid w:val="0"/>
        <w:rPr>
          <w:rFonts w:ascii="黑体" w:hAnsi="宋体" w:eastAsia="黑体"/>
          <w:b/>
          <w:color w:val="auto"/>
          <w:sz w:val="28"/>
          <w:szCs w:val="28"/>
        </w:rPr>
      </w:pPr>
      <w:r>
        <w:rPr>
          <w:rFonts w:hint="eastAsia" w:ascii="黑体" w:hAnsi="宋体" w:eastAsia="黑体"/>
          <w:b/>
          <w:color w:val="auto"/>
          <w:sz w:val="28"/>
          <w:szCs w:val="28"/>
        </w:rPr>
        <w:t>附件</w:t>
      </w:r>
      <w:r>
        <w:rPr>
          <w:rFonts w:hint="eastAsia" w:ascii="黑体" w:hAnsi="宋体" w:eastAsia="黑体"/>
          <w:b/>
          <w:color w:val="auto"/>
          <w:sz w:val="28"/>
          <w:szCs w:val="28"/>
          <w:lang w:val="en-US" w:eastAsia="zh-CN"/>
        </w:rPr>
        <w:t>9</w:t>
      </w:r>
      <w:r>
        <w:rPr>
          <w:rFonts w:hint="eastAsia" w:ascii="黑体" w:hAnsi="宋体" w:eastAsia="黑体"/>
          <w:b/>
          <w:color w:val="auto"/>
          <w:sz w:val="28"/>
          <w:szCs w:val="28"/>
        </w:rPr>
        <w:t xml:space="preserve">-1                   分项价格表 </w:t>
      </w:r>
    </w:p>
    <w:p>
      <w:pPr>
        <w:adjustRightInd w:val="0"/>
        <w:snapToGrid w:val="0"/>
        <w:jc w:val="center"/>
        <w:rPr>
          <w:rFonts w:ascii="黑体" w:hAnsi="宋体" w:eastAsia="黑体"/>
          <w:b/>
          <w:color w:val="auto"/>
          <w:sz w:val="28"/>
          <w:szCs w:val="28"/>
        </w:rPr>
      </w:pPr>
    </w:p>
    <w:p>
      <w:pPr>
        <w:adjustRightInd w:val="0"/>
        <w:snapToGrid w:val="0"/>
        <w:spacing w:line="360" w:lineRule="auto"/>
        <w:jc w:val="center"/>
        <w:rPr>
          <w:rFonts w:ascii="黑体" w:hAnsi="宋体" w:eastAsia="黑体" w:cs="微软雅黑"/>
          <w:b/>
          <w:color w:val="auto"/>
          <w:kern w:val="0"/>
          <w:position w:val="-3"/>
          <w:sz w:val="28"/>
          <w:szCs w:val="28"/>
        </w:rPr>
      </w:pPr>
      <w:r>
        <w:rPr>
          <w:rFonts w:hint="eastAsia" w:ascii="黑体" w:hAnsi="宋体" w:eastAsia="黑体" w:cs="微软雅黑"/>
          <w:b/>
          <w:color w:val="auto"/>
          <w:spacing w:val="-2"/>
          <w:kern w:val="0"/>
          <w:position w:val="-3"/>
          <w:sz w:val="28"/>
          <w:szCs w:val="28"/>
        </w:rPr>
        <w:t>分</w:t>
      </w:r>
      <w:r>
        <w:rPr>
          <w:rFonts w:hint="eastAsia" w:ascii="黑体" w:hAnsi="宋体" w:eastAsia="黑体" w:cs="微软雅黑"/>
          <w:b/>
          <w:color w:val="auto"/>
          <w:kern w:val="0"/>
          <w:position w:val="-3"/>
          <w:sz w:val="28"/>
          <w:szCs w:val="28"/>
        </w:rPr>
        <w:t>项</w:t>
      </w:r>
      <w:r>
        <w:rPr>
          <w:rFonts w:hint="eastAsia" w:ascii="黑体" w:hAnsi="宋体" w:eastAsia="黑体" w:cs="微软雅黑"/>
          <w:b/>
          <w:color w:val="auto"/>
          <w:spacing w:val="-2"/>
          <w:kern w:val="0"/>
          <w:position w:val="-3"/>
          <w:sz w:val="28"/>
          <w:szCs w:val="28"/>
        </w:rPr>
        <w:t>报</w:t>
      </w:r>
      <w:r>
        <w:rPr>
          <w:rFonts w:hint="eastAsia" w:ascii="黑体" w:hAnsi="宋体" w:eastAsia="黑体" w:cs="微软雅黑"/>
          <w:b/>
          <w:color w:val="auto"/>
          <w:kern w:val="0"/>
          <w:position w:val="-3"/>
          <w:sz w:val="28"/>
          <w:szCs w:val="28"/>
        </w:rPr>
        <w:t>价明细表</w:t>
      </w:r>
    </w:p>
    <w:p>
      <w:pPr>
        <w:adjustRightInd w:val="0"/>
        <w:snapToGrid w:val="0"/>
        <w:spacing w:line="360" w:lineRule="auto"/>
        <w:rPr>
          <w:rFonts w:ascii="宋体" w:hAnsi="宋体"/>
          <w:color w:val="auto"/>
          <w:szCs w:val="21"/>
        </w:rPr>
      </w:pPr>
      <w:r>
        <w:rPr>
          <w:rFonts w:hint="eastAsia" w:ascii="宋体" w:hAnsi="宋体"/>
          <w:color w:val="auto"/>
          <w:szCs w:val="21"/>
        </w:rPr>
        <w:t>采购代理编号：</w:t>
      </w:r>
      <w:r>
        <w:rPr>
          <w:rFonts w:hint="eastAsia" w:ascii="宋体" w:hAnsi="宋体"/>
          <w:color w:val="auto"/>
          <w:szCs w:val="21"/>
          <w:u w:val="single"/>
        </w:rPr>
        <w:t>__    ________</w:t>
      </w:r>
      <w:r>
        <w:rPr>
          <w:rFonts w:hint="eastAsia" w:ascii="宋体" w:hAnsi="宋体"/>
          <w:color w:val="auto"/>
          <w:szCs w:val="21"/>
        </w:rPr>
        <w:t xml:space="preserve">                       项目名称：</w:t>
      </w:r>
      <w:r>
        <w:rPr>
          <w:rFonts w:hint="eastAsia" w:ascii="宋体" w:hAnsi="宋体"/>
          <w:color w:val="auto"/>
          <w:szCs w:val="21"/>
          <w:u w:val="single"/>
        </w:rPr>
        <w:t>____            ______</w:t>
      </w:r>
      <w:r>
        <w:rPr>
          <w:rFonts w:hint="eastAsia" w:ascii="宋体" w:hAnsi="宋体"/>
          <w:color w:val="auto"/>
          <w:szCs w:val="21"/>
        </w:rPr>
        <w:t xml:space="preserve"> </w:t>
      </w:r>
    </w:p>
    <w:p>
      <w:pPr>
        <w:adjustRightInd w:val="0"/>
        <w:snapToGrid w:val="0"/>
        <w:spacing w:line="360" w:lineRule="auto"/>
        <w:rPr>
          <w:rFonts w:hint="eastAsia" w:ascii="宋体" w:hAnsi="宋体"/>
          <w:color w:val="auto"/>
          <w:szCs w:val="21"/>
        </w:rPr>
      </w:pPr>
      <w:r>
        <w:rPr>
          <w:rFonts w:hint="eastAsia" w:ascii="宋体" w:hAnsi="宋体"/>
          <w:color w:val="auto"/>
          <w:szCs w:val="21"/>
        </w:rPr>
        <w:t>包号：</w:t>
      </w:r>
      <w:r>
        <w:rPr>
          <w:rFonts w:hint="eastAsia" w:ascii="宋体" w:hAnsi="宋体"/>
          <w:color w:val="auto"/>
          <w:szCs w:val="21"/>
          <w:u w:val="single"/>
        </w:rPr>
        <w:t xml:space="preserve">__    ________         </w:t>
      </w:r>
      <w:r>
        <w:rPr>
          <w:rFonts w:hint="eastAsia" w:ascii="宋体" w:hAnsi="宋体"/>
          <w:color w:val="auto"/>
          <w:szCs w:val="21"/>
        </w:rPr>
        <w:t xml:space="preserve">                      包名称：</w:t>
      </w:r>
      <w:r>
        <w:rPr>
          <w:rFonts w:hint="eastAsia" w:ascii="宋体" w:hAnsi="宋体"/>
          <w:color w:val="auto"/>
          <w:szCs w:val="21"/>
          <w:u w:val="single"/>
        </w:rPr>
        <w:t xml:space="preserve">__    ________  </w:t>
      </w:r>
      <w:r>
        <w:rPr>
          <w:rFonts w:hint="eastAsia" w:ascii="宋体" w:hAnsi="宋体"/>
          <w:color w:val="auto"/>
          <w:szCs w:val="21"/>
        </w:rPr>
        <w:t xml:space="preserve"> </w:t>
      </w:r>
    </w:p>
    <w:p>
      <w:pPr>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格式参照磋商文件最后附件二</w:t>
      </w:r>
      <w:r>
        <w:rPr>
          <w:rFonts w:hint="eastAsia" w:ascii="宋体" w:hAnsi="宋体" w:eastAsia="宋体" w:cs="宋体"/>
          <w:color w:val="auto"/>
          <w:sz w:val="28"/>
          <w:szCs w:val="28"/>
        </w:rPr>
        <w:t>分项建设内容与要求</w:t>
      </w:r>
      <w:r>
        <w:rPr>
          <w:rFonts w:hint="eastAsia" w:ascii="宋体" w:hAnsi="宋体" w:eastAsia="宋体" w:cs="宋体"/>
          <w:color w:val="auto"/>
          <w:sz w:val="28"/>
          <w:szCs w:val="28"/>
          <w:lang w:val="en-US" w:eastAsia="zh-CN"/>
        </w:rPr>
        <w:t>预算表及报价清单格式报价</w:t>
      </w:r>
    </w:p>
    <w:p>
      <w:pPr>
        <w:pStyle w:val="2"/>
        <w:rPr>
          <w:rFonts w:hint="eastAsia" w:eastAsia="宋体"/>
          <w:color w:val="auto"/>
          <w:lang w:val="en-US" w:eastAsia="zh-CN"/>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rPr>
      </w:pPr>
      <w:r>
        <w:rPr>
          <w:rFonts w:hint="eastAsia" w:ascii="宋体" w:hAnsi="宋体"/>
          <w:color w:val="auto"/>
          <w:szCs w:val="21"/>
          <w:highlight w:val="none"/>
        </w:rPr>
        <w:t>说明：1、本表为合同包内所有</w:t>
      </w:r>
      <w:r>
        <w:rPr>
          <w:rFonts w:hint="eastAsia" w:ascii="宋体" w:hAnsi="宋体"/>
          <w:color w:val="auto"/>
          <w:szCs w:val="21"/>
          <w:highlight w:val="none"/>
          <w:lang w:eastAsia="zh-CN"/>
        </w:rPr>
        <w:t>货物</w:t>
      </w:r>
      <w:r>
        <w:rPr>
          <w:rFonts w:hint="eastAsia" w:ascii="宋体" w:hAnsi="宋体"/>
          <w:color w:val="auto"/>
          <w:szCs w:val="21"/>
          <w:highlight w:val="none"/>
        </w:rPr>
        <w:t>的报价明细表。</w:t>
      </w:r>
    </w:p>
    <w:p>
      <w:pPr>
        <w:adjustRightInd w:val="0"/>
        <w:snapToGrid w:val="0"/>
        <w:jc w:val="both"/>
        <w:rPr>
          <w:rFonts w:hint="default" w:ascii="黑体" w:hAnsi="宋体" w:eastAsia="黑体"/>
          <w:b/>
          <w:color w:val="auto"/>
          <w:sz w:val="28"/>
          <w:szCs w:val="28"/>
          <w:lang w:val="en-US" w:eastAsia="zh-CN"/>
        </w:rPr>
      </w:pPr>
    </w:p>
    <w:p>
      <w:pPr>
        <w:adjustRightInd w:val="0"/>
        <w:snapToGrid w:val="0"/>
        <w:jc w:val="center"/>
        <w:rPr>
          <w:rFonts w:ascii="黑体" w:hAnsi="宋体" w:eastAsia="黑体"/>
          <w:b/>
          <w:color w:val="auto"/>
          <w:sz w:val="28"/>
          <w:szCs w:val="28"/>
        </w:rPr>
      </w:pPr>
    </w:p>
    <w:p>
      <w:pPr>
        <w:adjustRightInd w:val="0"/>
        <w:snapToGrid w:val="0"/>
        <w:rPr>
          <w:rFonts w:hint="eastAsia" w:ascii="黑体" w:hAnsi="宋体" w:eastAsia="黑体"/>
          <w:b/>
          <w:color w:val="auto"/>
          <w:sz w:val="28"/>
          <w:szCs w:val="28"/>
        </w:rPr>
      </w:pPr>
    </w:p>
    <w:p>
      <w:pPr>
        <w:adjustRightInd w:val="0"/>
        <w:snapToGrid w:val="0"/>
        <w:rPr>
          <w:rFonts w:hint="eastAsia" w:ascii="黑体" w:hAnsi="宋体" w:eastAsia="黑体"/>
          <w:b/>
          <w:color w:val="auto"/>
          <w:sz w:val="28"/>
          <w:szCs w:val="28"/>
        </w:rPr>
      </w:pPr>
    </w:p>
    <w:p>
      <w:pPr>
        <w:spacing w:line="264" w:lineRule="auto"/>
        <w:ind w:firstLine="301" w:firstLineChars="150"/>
        <w:rPr>
          <w:rFonts w:hint="eastAsia" w:ascii="宋体" w:hAnsi="宋体"/>
          <w:color w:val="auto"/>
          <w:sz w:val="20"/>
          <w:szCs w:val="22"/>
        </w:rPr>
      </w:pPr>
    </w:p>
    <w:p>
      <w:pPr>
        <w:adjustRightInd w:val="0"/>
        <w:snapToGrid w:val="0"/>
        <w:jc w:val="center"/>
        <w:rPr>
          <w:rFonts w:ascii="黑体" w:hAnsi="宋体" w:eastAsia="黑体"/>
          <w:b/>
          <w:color w:val="auto"/>
          <w:sz w:val="28"/>
          <w:szCs w:val="28"/>
        </w:rPr>
      </w:pPr>
    </w:p>
    <w:p>
      <w:pPr>
        <w:adjustRightInd w:val="0"/>
        <w:snapToGrid w:val="0"/>
        <w:jc w:val="center"/>
        <w:rPr>
          <w:rFonts w:ascii="黑体" w:hAnsi="宋体" w:eastAsia="黑体"/>
          <w:b/>
          <w:color w:val="auto"/>
          <w:sz w:val="28"/>
          <w:szCs w:val="28"/>
        </w:rPr>
      </w:pPr>
    </w:p>
    <w:p>
      <w:pPr>
        <w:adjustRightInd w:val="0"/>
        <w:snapToGrid w:val="0"/>
        <w:jc w:val="center"/>
        <w:rPr>
          <w:rFonts w:hint="eastAsia" w:ascii="黑体" w:hAnsi="宋体" w:eastAsia="黑体"/>
          <w:b/>
          <w:color w:val="auto"/>
          <w:sz w:val="28"/>
          <w:szCs w:val="28"/>
        </w:rPr>
      </w:pPr>
    </w:p>
    <w:p>
      <w:pPr>
        <w:adjustRightInd w:val="0"/>
        <w:snapToGrid w:val="0"/>
        <w:jc w:val="center"/>
        <w:rPr>
          <w:rFonts w:hint="eastAsia" w:ascii="黑体" w:hAnsi="宋体" w:eastAsia="黑体"/>
          <w:b/>
          <w:color w:val="auto"/>
          <w:sz w:val="28"/>
          <w:szCs w:val="28"/>
        </w:rPr>
      </w:pPr>
    </w:p>
    <w:p>
      <w:pPr>
        <w:adjustRightInd w:val="0"/>
        <w:snapToGrid w:val="0"/>
        <w:jc w:val="center"/>
        <w:rPr>
          <w:rFonts w:hint="eastAsia" w:ascii="黑体" w:hAnsi="宋体" w:eastAsia="黑体"/>
          <w:b/>
          <w:color w:val="auto"/>
          <w:sz w:val="28"/>
          <w:szCs w:val="28"/>
        </w:rPr>
      </w:pPr>
    </w:p>
    <w:p>
      <w:pPr>
        <w:adjustRightInd w:val="0"/>
        <w:snapToGrid w:val="0"/>
        <w:jc w:val="center"/>
        <w:rPr>
          <w:rFonts w:hint="eastAsia" w:ascii="黑体" w:hAnsi="宋体" w:eastAsia="黑体"/>
          <w:b/>
          <w:color w:val="auto"/>
          <w:sz w:val="28"/>
          <w:szCs w:val="28"/>
        </w:rPr>
      </w:pPr>
    </w:p>
    <w:p>
      <w:pPr>
        <w:adjustRightInd w:val="0"/>
        <w:snapToGrid w:val="0"/>
        <w:jc w:val="center"/>
        <w:rPr>
          <w:rFonts w:hint="eastAsia" w:ascii="黑体" w:hAnsi="宋体" w:eastAsia="黑体"/>
          <w:b/>
          <w:color w:val="auto"/>
          <w:sz w:val="28"/>
          <w:szCs w:val="28"/>
        </w:rPr>
      </w:pPr>
    </w:p>
    <w:p>
      <w:pPr>
        <w:adjustRightInd w:val="0"/>
        <w:snapToGrid w:val="0"/>
        <w:jc w:val="center"/>
        <w:rPr>
          <w:rFonts w:hint="eastAsia" w:ascii="黑体" w:hAnsi="宋体" w:eastAsia="黑体"/>
          <w:b/>
          <w:color w:val="auto"/>
          <w:sz w:val="28"/>
          <w:szCs w:val="28"/>
        </w:rPr>
      </w:pPr>
    </w:p>
    <w:p>
      <w:pPr>
        <w:adjustRightInd w:val="0"/>
        <w:snapToGrid w:val="0"/>
        <w:jc w:val="center"/>
        <w:rPr>
          <w:rFonts w:hint="eastAsia" w:ascii="黑体" w:hAnsi="宋体" w:eastAsia="黑体"/>
          <w:b/>
          <w:color w:val="auto"/>
          <w:sz w:val="28"/>
          <w:szCs w:val="28"/>
        </w:rPr>
      </w:pPr>
    </w:p>
    <w:p>
      <w:pPr>
        <w:adjustRightInd w:val="0"/>
        <w:snapToGrid w:val="0"/>
        <w:jc w:val="center"/>
        <w:rPr>
          <w:rFonts w:hint="eastAsia" w:ascii="黑体" w:hAnsi="宋体" w:eastAsia="黑体"/>
          <w:b/>
          <w:color w:val="auto"/>
          <w:sz w:val="28"/>
          <w:szCs w:val="28"/>
        </w:rPr>
      </w:pPr>
    </w:p>
    <w:p>
      <w:pPr>
        <w:adjustRightInd w:val="0"/>
        <w:snapToGrid w:val="0"/>
        <w:jc w:val="center"/>
        <w:rPr>
          <w:rFonts w:hint="eastAsia" w:ascii="黑体" w:hAnsi="宋体" w:eastAsia="黑体"/>
          <w:b/>
          <w:color w:val="auto"/>
          <w:sz w:val="28"/>
          <w:szCs w:val="28"/>
        </w:rPr>
      </w:pPr>
    </w:p>
    <w:p>
      <w:pPr>
        <w:pStyle w:val="2"/>
        <w:rPr>
          <w:rFonts w:hint="eastAsia"/>
          <w:color w:val="auto"/>
        </w:rPr>
      </w:pPr>
    </w:p>
    <w:p>
      <w:pPr>
        <w:pStyle w:val="3"/>
        <w:rPr>
          <w:rFonts w:hint="eastAsia"/>
          <w:color w:val="auto"/>
        </w:rPr>
      </w:pPr>
    </w:p>
    <w:p>
      <w:pPr>
        <w:adjustRightInd w:val="0"/>
        <w:snapToGrid w:val="0"/>
        <w:jc w:val="center"/>
        <w:rPr>
          <w:rFonts w:hint="eastAsia" w:ascii="黑体" w:hAnsi="宋体" w:eastAsia="黑体"/>
          <w:b/>
          <w:color w:val="auto"/>
          <w:sz w:val="28"/>
          <w:szCs w:val="28"/>
        </w:rPr>
      </w:pPr>
    </w:p>
    <w:p>
      <w:pPr>
        <w:adjustRightInd w:val="0"/>
        <w:snapToGrid w:val="0"/>
        <w:jc w:val="center"/>
        <w:rPr>
          <w:rFonts w:hint="eastAsia" w:ascii="黑体" w:hAnsi="宋体" w:eastAsia="黑体"/>
          <w:b/>
          <w:color w:val="auto"/>
          <w:sz w:val="28"/>
          <w:szCs w:val="28"/>
        </w:rPr>
      </w:pPr>
    </w:p>
    <w:p>
      <w:pPr>
        <w:pStyle w:val="2"/>
        <w:rPr>
          <w:rFonts w:hint="eastAsia"/>
          <w:color w:val="auto"/>
        </w:rPr>
      </w:pPr>
    </w:p>
    <w:p>
      <w:pPr>
        <w:adjustRightInd w:val="0"/>
        <w:snapToGrid w:val="0"/>
        <w:jc w:val="center"/>
        <w:rPr>
          <w:rFonts w:hint="eastAsia" w:ascii="黑体" w:hAnsi="宋体" w:eastAsia="黑体"/>
          <w:b/>
          <w:color w:val="auto"/>
          <w:sz w:val="28"/>
          <w:szCs w:val="28"/>
        </w:rPr>
      </w:pPr>
    </w:p>
    <w:p>
      <w:pPr>
        <w:adjustRightInd w:val="0"/>
        <w:snapToGrid w:val="0"/>
        <w:jc w:val="both"/>
        <w:rPr>
          <w:rFonts w:hint="eastAsia" w:ascii="黑体" w:hAnsi="宋体" w:eastAsia="黑体"/>
          <w:b/>
          <w:color w:val="auto"/>
          <w:sz w:val="28"/>
          <w:szCs w:val="28"/>
        </w:rPr>
      </w:pPr>
    </w:p>
    <w:p>
      <w:pPr>
        <w:adjustRightInd w:val="0"/>
        <w:snapToGrid w:val="0"/>
        <w:jc w:val="center"/>
        <w:rPr>
          <w:rFonts w:hint="eastAsia" w:ascii="黑体" w:hAnsi="宋体" w:eastAsia="黑体"/>
          <w:b/>
          <w:color w:val="auto"/>
          <w:sz w:val="28"/>
          <w:szCs w:val="28"/>
        </w:rPr>
      </w:pPr>
    </w:p>
    <w:p>
      <w:pPr>
        <w:adjustRightInd w:val="0"/>
        <w:snapToGrid w:val="0"/>
        <w:jc w:val="center"/>
        <w:rPr>
          <w:rFonts w:hint="eastAsia" w:ascii="黑体" w:hAnsi="宋体" w:eastAsia="黑体"/>
          <w:b/>
          <w:color w:val="auto"/>
          <w:sz w:val="28"/>
          <w:szCs w:val="28"/>
        </w:rPr>
      </w:pPr>
      <w:r>
        <w:rPr>
          <w:rFonts w:hint="eastAsia" w:ascii="黑体" w:eastAsia="黑体"/>
          <w:b/>
          <w:color w:val="auto"/>
          <w:sz w:val="32"/>
          <w:szCs w:val="32"/>
        </w:rPr>
        <w:t>七</w:t>
      </w:r>
      <w:r>
        <w:rPr>
          <w:rFonts w:hint="eastAsia" w:ascii="黑体" w:eastAsia="黑体"/>
          <w:b/>
          <w:bCs/>
          <w:color w:val="auto"/>
          <w:sz w:val="32"/>
          <w:szCs w:val="32"/>
        </w:rPr>
        <w:t>、供应商认为需要提供的其它资料</w:t>
      </w:r>
    </w:p>
    <w:p>
      <w:pPr>
        <w:adjustRightInd w:val="0"/>
        <w:snapToGrid w:val="0"/>
        <w:rPr>
          <w:rFonts w:hint="eastAsia" w:ascii="黑体" w:hAnsi="宋体" w:eastAsia="黑体"/>
          <w:b/>
          <w:color w:val="auto"/>
          <w:sz w:val="28"/>
          <w:szCs w:val="28"/>
        </w:rPr>
      </w:pPr>
    </w:p>
    <w:p>
      <w:pPr>
        <w:adjustRightInd w:val="0"/>
        <w:snapToGrid w:val="0"/>
        <w:rPr>
          <w:rFonts w:hint="eastAsia" w:ascii="黑体" w:hAnsi="宋体" w:eastAsia="黑体"/>
          <w:b/>
          <w:color w:val="auto"/>
          <w:sz w:val="28"/>
          <w:szCs w:val="28"/>
        </w:rPr>
      </w:pPr>
    </w:p>
    <w:p>
      <w:pPr>
        <w:adjustRightInd w:val="0"/>
        <w:snapToGrid w:val="0"/>
        <w:rPr>
          <w:rFonts w:hint="eastAsia" w:ascii="黑体" w:hAnsi="宋体" w:eastAsia="黑体"/>
          <w:b/>
          <w:color w:val="auto"/>
          <w:sz w:val="28"/>
          <w:szCs w:val="28"/>
        </w:rPr>
      </w:pPr>
    </w:p>
    <w:p>
      <w:pPr>
        <w:adjustRightInd w:val="0"/>
        <w:snapToGrid w:val="0"/>
        <w:rPr>
          <w:rFonts w:hint="eastAsia" w:ascii="黑体" w:hAnsi="宋体" w:eastAsia="黑体"/>
          <w:b/>
          <w:color w:val="auto"/>
          <w:sz w:val="28"/>
          <w:szCs w:val="28"/>
        </w:rPr>
      </w:pPr>
    </w:p>
    <w:p>
      <w:pPr>
        <w:adjustRightInd w:val="0"/>
        <w:snapToGrid w:val="0"/>
        <w:spacing w:line="360" w:lineRule="auto"/>
        <w:ind w:firstLine="1284" w:firstLineChars="400"/>
        <w:rPr>
          <w:rFonts w:hint="eastAsia" w:ascii="黑体" w:eastAsia="黑体"/>
          <w:b/>
          <w:color w:val="auto"/>
          <w:sz w:val="32"/>
          <w:szCs w:val="32"/>
        </w:rPr>
      </w:pPr>
    </w:p>
    <w:p>
      <w:pPr>
        <w:adjustRightInd w:val="0"/>
        <w:snapToGrid w:val="0"/>
        <w:spacing w:line="360" w:lineRule="auto"/>
        <w:ind w:firstLine="1124" w:firstLineChars="400"/>
        <w:rPr>
          <w:rFonts w:hint="eastAsia" w:ascii="黑体" w:hAnsi="宋体" w:eastAsia="黑体"/>
          <w:color w:val="auto"/>
          <w:sz w:val="28"/>
          <w:szCs w:val="28"/>
        </w:rPr>
      </w:pPr>
    </w:p>
    <w:p>
      <w:pPr>
        <w:adjustRightInd w:val="0"/>
        <w:snapToGrid w:val="0"/>
        <w:spacing w:beforeLines="50" w:line="360" w:lineRule="auto"/>
        <w:jc w:val="center"/>
        <w:outlineLvl w:val="0"/>
        <w:rPr>
          <w:rFonts w:hint="eastAsia" w:ascii="黑体" w:hAnsi="宋体" w:eastAsia="黑体"/>
          <w:b/>
          <w:color w:val="auto"/>
          <w:sz w:val="32"/>
          <w:szCs w:val="32"/>
        </w:rPr>
      </w:pPr>
    </w:p>
    <w:p>
      <w:pPr>
        <w:adjustRightInd w:val="0"/>
        <w:snapToGrid w:val="0"/>
        <w:spacing w:beforeLines="50" w:line="360" w:lineRule="auto"/>
        <w:jc w:val="center"/>
        <w:outlineLvl w:val="0"/>
        <w:rPr>
          <w:rFonts w:hint="eastAsia" w:ascii="黑体" w:hAnsi="宋体" w:eastAsia="黑体"/>
          <w:b/>
          <w:color w:val="auto"/>
          <w:sz w:val="32"/>
          <w:szCs w:val="32"/>
        </w:rPr>
      </w:pPr>
    </w:p>
    <w:p>
      <w:pPr>
        <w:adjustRightInd w:val="0"/>
        <w:snapToGrid w:val="0"/>
        <w:spacing w:beforeLines="50" w:line="360" w:lineRule="auto"/>
        <w:jc w:val="center"/>
        <w:outlineLvl w:val="0"/>
        <w:rPr>
          <w:rFonts w:hint="eastAsia" w:ascii="黑体" w:hAnsi="宋体" w:eastAsia="黑体"/>
          <w:b/>
          <w:color w:val="auto"/>
          <w:sz w:val="32"/>
          <w:szCs w:val="32"/>
        </w:rPr>
      </w:pPr>
    </w:p>
    <w:p>
      <w:pPr>
        <w:adjustRightInd w:val="0"/>
        <w:snapToGrid w:val="0"/>
        <w:spacing w:beforeLines="50" w:line="360" w:lineRule="auto"/>
        <w:jc w:val="center"/>
        <w:outlineLvl w:val="0"/>
        <w:rPr>
          <w:rFonts w:hint="eastAsia" w:ascii="黑体" w:hAnsi="宋体" w:eastAsia="黑体"/>
          <w:b/>
          <w:color w:val="auto"/>
          <w:sz w:val="32"/>
          <w:szCs w:val="32"/>
        </w:rPr>
      </w:pPr>
    </w:p>
    <w:p>
      <w:pPr>
        <w:adjustRightInd w:val="0"/>
        <w:snapToGrid w:val="0"/>
        <w:spacing w:beforeLines="50" w:line="360" w:lineRule="auto"/>
        <w:jc w:val="center"/>
        <w:outlineLvl w:val="0"/>
        <w:rPr>
          <w:rFonts w:hint="eastAsia" w:ascii="黑体" w:hAnsi="宋体" w:eastAsia="黑体"/>
          <w:b/>
          <w:color w:val="auto"/>
          <w:sz w:val="32"/>
          <w:szCs w:val="32"/>
        </w:rPr>
      </w:pPr>
    </w:p>
    <w:p>
      <w:pPr>
        <w:pStyle w:val="5"/>
        <w:rPr>
          <w:rFonts w:hint="eastAsia" w:ascii="黑体" w:hAnsi="宋体" w:eastAsia="黑体"/>
          <w:b w:val="0"/>
          <w:color w:val="auto"/>
          <w:sz w:val="32"/>
          <w:szCs w:val="32"/>
        </w:rPr>
      </w:pPr>
    </w:p>
    <w:p>
      <w:pPr>
        <w:rPr>
          <w:rFonts w:hint="eastAsia" w:ascii="黑体" w:hAnsi="宋体" w:eastAsia="黑体"/>
          <w:b/>
          <w:color w:val="auto"/>
          <w:sz w:val="32"/>
          <w:szCs w:val="32"/>
        </w:rPr>
      </w:pPr>
    </w:p>
    <w:p>
      <w:pPr>
        <w:pStyle w:val="5"/>
        <w:rPr>
          <w:rFonts w:hint="eastAsia" w:ascii="黑体" w:hAnsi="宋体" w:eastAsia="黑体"/>
          <w:b w:val="0"/>
          <w:color w:val="auto"/>
          <w:sz w:val="32"/>
          <w:szCs w:val="32"/>
        </w:rPr>
      </w:pPr>
    </w:p>
    <w:p>
      <w:pPr>
        <w:rPr>
          <w:rFonts w:hint="eastAsia"/>
          <w:color w:val="auto"/>
        </w:rPr>
      </w:pPr>
    </w:p>
    <w:p>
      <w:pPr>
        <w:adjustRightInd w:val="0"/>
        <w:snapToGrid w:val="0"/>
        <w:spacing w:beforeLines="50" w:line="360" w:lineRule="auto"/>
        <w:jc w:val="center"/>
        <w:outlineLvl w:val="0"/>
        <w:rPr>
          <w:rFonts w:hint="eastAsia" w:ascii="黑体" w:hAnsi="宋体" w:eastAsia="黑体"/>
          <w:b/>
          <w:color w:val="auto"/>
          <w:sz w:val="32"/>
          <w:szCs w:val="32"/>
        </w:rPr>
      </w:pPr>
    </w:p>
    <w:p>
      <w:pPr>
        <w:adjustRightInd w:val="0"/>
        <w:snapToGrid w:val="0"/>
        <w:spacing w:beforeLines="50" w:line="360" w:lineRule="auto"/>
        <w:jc w:val="center"/>
        <w:outlineLvl w:val="0"/>
        <w:rPr>
          <w:rFonts w:hint="eastAsia" w:ascii="黑体" w:hAnsi="宋体" w:eastAsia="黑体"/>
          <w:b/>
          <w:color w:val="auto"/>
          <w:sz w:val="32"/>
          <w:szCs w:val="32"/>
        </w:rPr>
      </w:pPr>
    </w:p>
    <w:p>
      <w:pPr>
        <w:adjustRightInd w:val="0"/>
        <w:snapToGrid w:val="0"/>
        <w:spacing w:beforeLines="50" w:line="360" w:lineRule="auto"/>
        <w:jc w:val="center"/>
        <w:outlineLvl w:val="0"/>
        <w:rPr>
          <w:rFonts w:hint="eastAsia" w:ascii="黑体" w:hAnsi="宋体" w:eastAsia="黑体"/>
          <w:b/>
          <w:color w:val="auto"/>
          <w:sz w:val="32"/>
          <w:szCs w:val="32"/>
        </w:rPr>
      </w:pPr>
    </w:p>
    <w:p>
      <w:pPr>
        <w:adjustRightInd w:val="0"/>
        <w:snapToGrid w:val="0"/>
        <w:spacing w:beforeLines="50" w:line="360" w:lineRule="auto"/>
        <w:jc w:val="both"/>
        <w:outlineLvl w:val="0"/>
        <w:rPr>
          <w:rFonts w:hint="eastAsia" w:ascii="黑体" w:hAnsi="宋体" w:eastAsia="黑体"/>
          <w:b/>
          <w:color w:val="auto"/>
          <w:sz w:val="32"/>
          <w:szCs w:val="32"/>
        </w:rPr>
      </w:pPr>
    </w:p>
    <w:p>
      <w:pPr>
        <w:pStyle w:val="2"/>
        <w:rPr>
          <w:rFonts w:hint="eastAsia" w:ascii="黑体" w:hAnsi="宋体" w:eastAsia="黑体"/>
          <w:b/>
          <w:color w:val="auto"/>
          <w:sz w:val="32"/>
          <w:szCs w:val="32"/>
        </w:rPr>
      </w:pPr>
    </w:p>
    <w:p>
      <w:pPr>
        <w:pStyle w:val="3"/>
        <w:rPr>
          <w:rFonts w:hint="eastAsia"/>
          <w:color w:val="auto"/>
        </w:rPr>
      </w:pPr>
    </w:p>
    <w:p>
      <w:pPr>
        <w:adjustRightInd w:val="0"/>
        <w:snapToGrid w:val="0"/>
        <w:spacing w:beforeLines="50" w:line="360" w:lineRule="auto"/>
        <w:jc w:val="center"/>
        <w:outlineLvl w:val="0"/>
        <w:rPr>
          <w:rFonts w:hint="eastAsia" w:ascii="黑体" w:hAnsi="宋体" w:eastAsia="黑体"/>
          <w:b/>
          <w:color w:val="auto"/>
          <w:sz w:val="32"/>
          <w:szCs w:val="32"/>
        </w:rPr>
      </w:pPr>
    </w:p>
    <w:p>
      <w:pPr>
        <w:adjustRightInd w:val="0"/>
        <w:snapToGrid w:val="0"/>
        <w:spacing w:beforeLines="50" w:line="360" w:lineRule="auto"/>
        <w:ind w:firstLine="3210" w:firstLineChars="1000"/>
        <w:outlineLvl w:val="0"/>
        <w:rPr>
          <w:rFonts w:hint="eastAsia" w:ascii="黑体" w:hAnsi="宋体" w:eastAsia="黑体"/>
          <w:b/>
          <w:color w:val="auto"/>
          <w:sz w:val="32"/>
          <w:szCs w:val="32"/>
        </w:rPr>
      </w:pPr>
      <w:r>
        <w:rPr>
          <w:rFonts w:hint="eastAsia" w:ascii="黑体" w:hAnsi="宋体" w:eastAsia="黑体"/>
          <w:b/>
          <w:color w:val="auto"/>
          <w:sz w:val="32"/>
          <w:szCs w:val="32"/>
        </w:rPr>
        <w:t>八、最后报价</w:t>
      </w:r>
    </w:p>
    <w:p>
      <w:pPr>
        <w:adjustRightInd w:val="0"/>
        <w:snapToGrid w:val="0"/>
        <w:spacing w:beforeLines="50" w:line="360" w:lineRule="auto"/>
        <w:outlineLvl w:val="0"/>
        <w:rPr>
          <w:rFonts w:hint="eastAsia" w:ascii="宋体" w:hAnsi="宋体"/>
          <w:color w:val="auto"/>
          <w:szCs w:val="21"/>
        </w:rPr>
      </w:pPr>
      <w:r>
        <w:rPr>
          <w:rFonts w:hint="eastAsia" w:ascii="宋体" w:hAnsi="宋体"/>
          <w:color w:val="auto"/>
          <w:szCs w:val="21"/>
        </w:rPr>
        <w:t>说明：最后报价按第二章磋商须知第30条规定提供，格式按附件9或磋商小组的要求提供。（首次响应文件中不需提供最后报价表，最后报价表可不盖单位公章，由法定代表人或委托代理人签字即可）。</w:t>
      </w:r>
    </w:p>
    <w:p>
      <w:pPr>
        <w:pStyle w:val="2"/>
        <w:rPr>
          <w:rFonts w:hint="default" w:eastAsia="宋体"/>
          <w:color w:val="auto"/>
          <w:lang w:val="en-US" w:eastAsia="zh-CN"/>
        </w:rPr>
      </w:pPr>
      <w:r>
        <w:rPr>
          <w:rFonts w:hint="eastAsia" w:ascii="宋体" w:hAnsi="宋体"/>
          <w:color w:val="auto"/>
          <w:szCs w:val="21"/>
          <w:lang w:val="en-US" w:eastAsia="zh-CN"/>
        </w:rPr>
        <w:t>注：最后报价需要提供明细清单否则将视为无效报价，报价格式参照附件二。</w:t>
      </w:r>
    </w:p>
    <w:p>
      <w:pPr>
        <w:adjustRightInd w:val="0"/>
        <w:snapToGrid w:val="0"/>
        <w:spacing w:line="360" w:lineRule="auto"/>
        <w:rPr>
          <w:rFonts w:hint="eastAsia" w:ascii="宋体" w:hAnsi="宋体"/>
          <w:color w:val="auto"/>
          <w:szCs w:val="21"/>
        </w:rPr>
      </w:pPr>
    </w:p>
    <w:p>
      <w:pPr>
        <w:adjustRightInd w:val="0"/>
        <w:snapToGrid w:val="0"/>
        <w:spacing w:line="360" w:lineRule="auto"/>
        <w:ind w:left="-88" w:leftChars="-42" w:firstLine="527" w:firstLineChars="250"/>
        <w:rPr>
          <w:rFonts w:hint="eastAsia" w:ascii="宋体" w:hAnsi="宋体"/>
          <w:color w:val="auto"/>
          <w:szCs w:val="21"/>
        </w:rPr>
      </w:pPr>
    </w:p>
    <w:p>
      <w:pPr>
        <w:adjustRightInd w:val="0"/>
        <w:snapToGrid w:val="0"/>
        <w:spacing w:line="360" w:lineRule="auto"/>
        <w:ind w:left="-88" w:leftChars="-42" w:firstLine="527" w:firstLineChars="250"/>
        <w:rPr>
          <w:rFonts w:hint="eastAsia" w:ascii="宋体" w:hAnsi="宋体"/>
          <w:color w:val="auto"/>
          <w:szCs w:val="21"/>
        </w:rPr>
      </w:pPr>
    </w:p>
    <w:p>
      <w:pPr>
        <w:rPr>
          <w:rFonts w:hint="eastAsia"/>
          <w:color w:val="auto"/>
        </w:rPr>
      </w:pPr>
    </w:p>
    <w:p>
      <w:pPr>
        <w:rPr>
          <w:color w:val="auto"/>
        </w:rPr>
      </w:pPr>
    </w:p>
    <w:p>
      <w:pPr>
        <w:rPr>
          <w:color w:val="auto"/>
        </w:rPr>
      </w:pPr>
    </w:p>
    <w:p>
      <w:pPr>
        <w:rPr>
          <w:color w:val="auto"/>
        </w:rPr>
        <w:sectPr>
          <w:pgSz w:w="11906" w:h="16838"/>
          <w:pgMar w:top="1474" w:right="1587" w:bottom="1474" w:left="1587" w:header="851" w:footer="992" w:gutter="0"/>
          <w:pgNumType w:fmt="decimal"/>
          <w:cols w:space="720" w:num="1"/>
          <w:rtlGutter w:val="0"/>
          <w:docGrid w:type="linesAndChars" w:linePitch="312" w:charSpace="409"/>
        </w:sectPr>
      </w:pPr>
    </w:p>
    <w:p>
      <w:pPr>
        <w:pStyle w:val="5"/>
        <w:rPr>
          <w:rFonts w:hint="eastAsia"/>
          <w:color w:val="auto"/>
          <w:lang w:val="en-US" w:eastAsia="zh-CN"/>
        </w:rPr>
      </w:pPr>
      <w:r>
        <w:rPr>
          <w:rFonts w:hint="eastAsia"/>
          <w:color w:val="auto"/>
          <w:lang w:val="en-US" w:eastAsia="zh-CN"/>
        </w:rPr>
        <w:t>附件二</w:t>
      </w:r>
    </w:p>
    <w:p>
      <w:pPr>
        <w:jc w:val="center"/>
        <w:rPr>
          <w:rFonts w:hint="eastAsia" w:ascii="宋体" w:hAnsi="宋体"/>
          <w:color w:val="auto"/>
          <w:sz w:val="44"/>
          <w:szCs w:val="44"/>
          <w:lang w:val="en-US" w:eastAsia="zh-CN"/>
        </w:rPr>
      </w:pPr>
      <w:r>
        <w:rPr>
          <w:rFonts w:hint="eastAsia" w:ascii="宋体" w:hAnsi="宋体"/>
          <w:color w:val="auto"/>
          <w:sz w:val="44"/>
          <w:szCs w:val="44"/>
        </w:rPr>
        <w:t>分项建设内容与要求</w:t>
      </w:r>
      <w:r>
        <w:rPr>
          <w:rFonts w:hint="eastAsia" w:ascii="宋体" w:hAnsi="宋体"/>
          <w:color w:val="auto"/>
          <w:sz w:val="44"/>
          <w:szCs w:val="44"/>
          <w:lang w:val="en-US" w:eastAsia="zh-CN"/>
        </w:rPr>
        <w:t>预算表及报价清单</w:t>
      </w:r>
    </w:p>
    <w:p>
      <w:pPr>
        <w:pStyle w:val="2"/>
        <w:rPr>
          <w:rFonts w:hint="eastAsia"/>
          <w:lang w:val="en-US" w:eastAsia="zh-CN"/>
        </w:rPr>
      </w:pPr>
    </w:p>
    <w:p>
      <w:pPr>
        <w:pStyle w:val="2"/>
        <w:rPr>
          <w:rFonts w:hint="default"/>
          <w:b/>
          <w:bCs/>
          <w:sz w:val="24"/>
          <w:szCs w:val="24"/>
          <w:lang w:val="en-US" w:eastAsia="zh-CN"/>
        </w:rPr>
      </w:pPr>
      <w:r>
        <w:rPr>
          <w:rFonts w:hint="eastAsia" w:ascii="宋体" w:hAnsi="宋体"/>
          <w:b/>
          <w:bCs/>
          <w:color w:val="auto"/>
          <w:sz w:val="24"/>
          <w:szCs w:val="24"/>
          <w:lang w:val="en-US" w:eastAsia="zh-CN"/>
        </w:rPr>
        <w:t>注：投标分项报价按照本表填写，原清单预算价必须保留方便评标对比。</w:t>
      </w:r>
    </w:p>
    <w:tbl>
      <w:tblPr>
        <w:tblStyle w:val="19"/>
        <w:tblW w:w="14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859"/>
        <w:gridCol w:w="1757"/>
        <w:gridCol w:w="850"/>
        <w:gridCol w:w="727"/>
        <w:gridCol w:w="3855"/>
        <w:gridCol w:w="1200"/>
        <w:gridCol w:w="750"/>
        <w:gridCol w:w="540"/>
        <w:gridCol w:w="720"/>
        <w:gridCol w:w="855"/>
        <w:gridCol w:w="810"/>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序号</w:t>
            </w:r>
          </w:p>
        </w:tc>
        <w:tc>
          <w:tcPr>
            <w:tcW w:w="859"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项目</w:t>
            </w:r>
          </w:p>
        </w:tc>
        <w:tc>
          <w:tcPr>
            <w:tcW w:w="1757"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建设内容</w:t>
            </w:r>
          </w:p>
        </w:tc>
        <w:tc>
          <w:tcPr>
            <w:tcW w:w="85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功能</w:t>
            </w:r>
          </w:p>
        </w:tc>
        <w:tc>
          <w:tcPr>
            <w:tcW w:w="727"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名称</w:t>
            </w:r>
          </w:p>
        </w:tc>
        <w:tc>
          <w:tcPr>
            <w:tcW w:w="3855"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内容描述或技术参数</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单价（元）</w:t>
            </w:r>
          </w:p>
        </w:tc>
        <w:tc>
          <w:tcPr>
            <w:tcW w:w="75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数量</w:t>
            </w:r>
          </w:p>
        </w:tc>
        <w:tc>
          <w:tcPr>
            <w:tcW w:w="54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w:t>
            </w:r>
          </w:p>
        </w:tc>
        <w:tc>
          <w:tcPr>
            <w:tcW w:w="72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小计（元）</w:t>
            </w:r>
          </w:p>
        </w:tc>
        <w:tc>
          <w:tcPr>
            <w:tcW w:w="855"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合计（元）</w:t>
            </w:r>
          </w:p>
        </w:tc>
        <w:tc>
          <w:tcPr>
            <w:tcW w:w="810" w:type="dxa"/>
            <w:noWrap w:val="0"/>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投标报价</w:t>
            </w:r>
            <w:bookmarkStart w:id="2" w:name="_GoBack"/>
            <w:r>
              <w:rPr>
                <w:rFonts w:hint="eastAsia" w:ascii="宋体" w:hAnsi="宋体" w:cs="宋体"/>
                <w:color w:val="auto"/>
                <w:kern w:val="0"/>
                <w:szCs w:val="21"/>
                <w:lang w:val="en-US" w:eastAsia="zh-CN"/>
              </w:rPr>
              <w:t>单</w:t>
            </w:r>
            <w:bookmarkEnd w:id="2"/>
            <w:r>
              <w:rPr>
                <w:rFonts w:hint="eastAsia" w:ascii="宋体" w:hAnsi="宋体" w:cs="宋体"/>
                <w:color w:val="auto"/>
                <w:kern w:val="0"/>
                <w:szCs w:val="21"/>
                <w:lang w:val="en-US" w:eastAsia="zh-CN"/>
              </w:rPr>
              <w:t>价</w:t>
            </w:r>
          </w:p>
        </w:tc>
        <w:tc>
          <w:tcPr>
            <w:tcW w:w="645" w:type="dxa"/>
            <w:noWrap w:val="0"/>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投标报价合计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859"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网站</w:t>
            </w:r>
          </w:p>
        </w:tc>
        <w:tc>
          <w:tcPr>
            <w:tcW w:w="1757" w:type="dxa"/>
            <w:vMerge w:val="restart"/>
            <w:noWrap w:val="0"/>
            <w:vAlign w:val="center"/>
          </w:tcPr>
          <w:p>
            <w:pPr>
              <w:widowControl/>
              <w:rPr>
                <w:rFonts w:ascii="宋体" w:hAnsi="宋体" w:cs="宋体"/>
                <w:color w:val="auto"/>
                <w:kern w:val="0"/>
                <w:szCs w:val="21"/>
              </w:rPr>
            </w:pPr>
            <w:r>
              <w:rPr>
                <w:rFonts w:hint="eastAsia" w:ascii="宋体" w:hAnsi="宋体" w:cs="宋体"/>
                <w:color w:val="auto"/>
                <w:kern w:val="0"/>
                <w:szCs w:val="21"/>
              </w:rPr>
              <w:t>现代农机数字博物馆建设内容包括为行业历史馆区、行业产品馆区、行业体验馆区、行业文化馆区、行业企业馆区，以图文、语音视频、动画、3D、虚拟仿真等形式呈现。</w:t>
            </w:r>
          </w:p>
        </w:tc>
        <w:tc>
          <w:tcPr>
            <w:tcW w:w="850" w:type="dxa"/>
            <w:vMerge w:val="restart"/>
            <w:noWrap w:val="0"/>
            <w:vAlign w:val="center"/>
          </w:tcPr>
          <w:p>
            <w:pPr>
              <w:widowControl/>
              <w:rPr>
                <w:rFonts w:ascii="宋体" w:hAnsi="宋体" w:cs="宋体"/>
                <w:color w:val="auto"/>
                <w:kern w:val="0"/>
                <w:szCs w:val="21"/>
              </w:rPr>
            </w:pPr>
            <w:r>
              <w:rPr>
                <w:rFonts w:hint="eastAsia" w:ascii="宋体" w:hAnsi="宋体" w:cs="宋体"/>
                <w:color w:val="auto"/>
                <w:kern w:val="0"/>
                <w:szCs w:val="21"/>
              </w:rPr>
              <w:t>数字及仿真资源承载</w:t>
            </w:r>
          </w:p>
        </w:tc>
        <w:tc>
          <w:tcPr>
            <w:tcW w:w="727" w:type="dxa"/>
            <w:vMerge w:val="restart"/>
            <w:noWrap w:val="0"/>
            <w:vAlign w:val="center"/>
          </w:tcPr>
          <w:p>
            <w:pPr>
              <w:widowControl/>
              <w:rPr>
                <w:rFonts w:ascii="宋体" w:hAnsi="宋体" w:cs="宋体"/>
                <w:color w:val="auto"/>
                <w:kern w:val="0"/>
                <w:szCs w:val="21"/>
              </w:rPr>
            </w:pPr>
            <w:r>
              <w:rPr>
                <w:rFonts w:hint="eastAsia" w:ascii="宋体" w:hAnsi="宋体" w:cs="宋体"/>
                <w:color w:val="auto"/>
                <w:kern w:val="0"/>
                <w:szCs w:val="21"/>
              </w:rPr>
              <w:t>现代农机数字博物馆</w:t>
            </w:r>
          </w:p>
        </w:tc>
        <w:tc>
          <w:tcPr>
            <w:tcW w:w="3855" w:type="dxa"/>
            <w:noWrap w:val="0"/>
            <w:vAlign w:val="center"/>
          </w:tcPr>
          <w:p>
            <w:pPr>
              <w:widowControl/>
              <w:rPr>
                <w:rFonts w:ascii="宋体" w:hAnsi="宋体" w:cs="宋体"/>
                <w:color w:val="auto"/>
                <w:kern w:val="0"/>
                <w:szCs w:val="21"/>
              </w:rPr>
            </w:pPr>
            <w:r>
              <w:rPr>
                <w:rFonts w:hint="eastAsia" w:ascii="宋体" w:hAnsi="宋体" w:cs="宋体"/>
                <w:color w:val="auto"/>
                <w:kern w:val="0"/>
                <w:szCs w:val="21"/>
              </w:rPr>
              <w:t>1、系统采用B/S架构访问；</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12500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12500</w:t>
            </w:r>
          </w:p>
        </w:tc>
        <w:tc>
          <w:tcPr>
            <w:tcW w:w="855"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12500</w:t>
            </w:r>
          </w:p>
        </w:tc>
        <w:tc>
          <w:tcPr>
            <w:tcW w:w="810" w:type="dxa"/>
            <w:vMerge w:val="restart"/>
            <w:noWrap w:val="0"/>
            <w:vAlign w:val="center"/>
          </w:tcPr>
          <w:p>
            <w:pPr>
              <w:widowControl/>
              <w:jc w:val="center"/>
              <w:rPr>
                <w:rFonts w:hint="eastAsia" w:ascii="宋体" w:hAnsi="宋体" w:cs="宋体"/>
                <w:color w:val="auto"/>
                <w:kern w:val="0"/>
                <w:szCs w:val="21"/>
              </w:rPr>
            </w:pPr>
          </w:p>
        </w:tc>
        <w:tc>
          <w:tcPr>
            <w:tcW w:w="645" w:type="dxa"/>
            <w:vMerge w:val="restart"/>
            <w:noWrap w:val="0"/>
            <w:vAlign w:val="center"/>
          </w:tcPr>
          <w:p>
            <w:pPr>
              <w:widowControl/>
              <w:jc w:val="center"/>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2、平台隶属于湖南智慧教育平台，以整体资源包的方式接入湖南职业教育智慧教育平台，网址：</w:t>
            </w:r>
            <w:r>
              <w:rPr>
                <w:rFonts w:hint="eastAsia" w:ascii="宋体" w:hAnsi="宋体" w:cs="宋体"/>
                <w:color w:val="auto"/>
                <w:kern w:val="0"/>
                <w:sz w:val="18"/>
                <w:szCs w:val="18"/>
              </w:rPr>
              <w:t>https://vocational.hunan.smartedu.cn/，</w:t>
            </w:r>
            <w:r>
              <w:rPr>
                <w:rFonts w:hint="eastAsia" w:ascii="宋体" w:hAnsi="宋体" w:cs="宋体"/>
                <w:color w:val="auto"/>
                <w:kern w:val="0"/>
                <w:szCs w:val="21"/>
              </w:rPr>
              <w:t>符合湖南智慧教育平台技术标准；</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vMerge w:val="continue"/>
            <w:tcBorders/>
            <w:noWrap w:val="0"/>
            <w:vAlign w:val="center"/>
          </w:tcPr>
          <w:p>
            <w:pPr>
              <w:widowControl/>
              <w:jc w:val="left"/>
              <w:rPr>
                <w:rFonts w:ascii="宋体" w:hAnsi="宋体" w:cs="宋体"/>
                <w:color w:val="auto"/>
                <w:kern w:val="0"/>
                <w:szCs w:val="21"/>
              </w:rPr>
            </w:pPr>
          </w:p>
        </w:tc>
        <w:tc>
          <w:tcPr>
            <w:tcW w:w="645" w:type="dxa"/>
            <w:vMerge w:val="continue"/>
            <w:tcBorders/>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3、单台普通 WEB 通信并发不小于1000；</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vMerge w:val="continue"/>
            <w:tcBorders/>
            <w:noWrap w:val="0"/>
            <w:vAlign w:val="center"/>
          </w:tcPr>
          <w:p>
            <w:pPr>
              <w:widowControl/>
              <w:jc w:val="left"/>
              <w:rPr>
                <w:rFonts w:ascii="宋体" w:hAnsi="宋体" w:cs="宋体"/>
                <w:color w:val="auto"/>
                <w:kern w:val="0"/>
                <w:szCs w:val="21"/>
              </w:rPr>
            </w:pPr>
          </w:p>
        </w:tc>
        <w:tc>
          <w:tcPr>
            <w:tcW w:w="645" w:type="dxa"/>
            <w:vMerge w:val="continue"/>
            <w:tcBorders/>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rPr>
                <w:rFonts w:ascii="宋体" w:hAnsi="宋体" w:cs="宋体"/>
                <w:color w:val="auto"/>
                <w:kern w:val="0"/>
                <w:szCs w:val="21"/>
              </w:rPr>
            </w:pPr>
            <w:r>
              <w:rPr>
                <w:rFonts w:hint="eastAsia" w:ascii="宋体" w:hAnsi="宋体" w:cs="宋体"/>
                <w:color w:val="auto"/>
                <w:kern w:val="0"/>
                <w:szCs w:val="21"/>
              </w:rPr>
              <w:t>4、虚仿资源的加载，采用WebGL嵌入（Unity WebGL），首包需小于30M，其它资源通过assetbundle动态加载的方式，assetbundle包体需小于10M,同场景内，面数小于0.5M内，SetPasscall小于150，贴图大小不得高于2K。资源加载响应时间不超过10秒；</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vMerge w:val="continue"/>
            <w:tcBorders/>
            <w:noWrap w:val="0"/>
            <w:vAlign w:val="center"/>
          </w:tcPr>
          <w:p>
            <w:pPr>
              <w:widowControl/>
              <w:jc w:val="left"/>
              <w:rPr>
                <w:rFonts w:ascii="宋体" w:hAnsi="宋体" w:cs="宋体"/>
                <w:color w:val="auto"/>
                <w:kern w:val="0"/>
                <w:szCs w:val="21"/>
              </w:rPr>
            </w:pPr>
          </w:p>
        </w:tc>
        <w:tc>
          <w:tcPr>
            <w:tcW w:w="645" w:type="dxa"/>
            <w:vMerge w:val="continue"/>
            <w:tcBorders/>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5、视频资源支持mp4、WebM、Ogg格式；</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vMerge w:val="continue"/>
            <w:tcBorders/>
            <w:noWrap w:val="0"/>
            <w:vAlign w:val="center"/>
          </w:tcPr>
          <w:p>
            <w:pPr>
              <w:widowControl/>
              <w:jc w:val="left"/>
              <w:rPr>
                <w:rFonts w:ascii="宋体" w:hAnsi="宋体" w:cs="宋体"/>
                <w:color w:val="auto"/>
                <w:kern w:val="0"/>
                <w:szCs w:val="21"/>
              </w:rPr>
            </w:pPr>
          </w:p>
        </w:tc>
        <w:tc>
          <w:tcPr>
            <w:tcW w:w="645" w:type="dxa"/>
            <w:vMerge w:val="continue"/>
            <w:tcBorders/>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rPr>
                <w:rFonts w:ascii="宋体" w:hAnsi="宋体" w:cs="宋体"/>
                <w:color w:val="auto"/>
                <w:kern w:val="0"/>
                <w:szCs w:val="21"/>
              </w:rPr>
            </w:pPr>
            <w:r>
              <w:rPr>
                <w:rFonts w:hint="eastAsia" w:ascii="宋体" w:hAnsi="宋体" w:cs="宋体"/>
                <w:color w:val="auto"/>
                <w:kern w:val="0"/>
                <w:szCs w:val="21"/>
              </w:rPr>
              <w:t>6、系统采用扁平化设计，操作简洁，用户界面友好，系统的设计必须按照灵活扩展容量的要求进行设计开发，同时保证系统扩展操作简便易行；</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vMerge w:val="continue"/>
            <w:tcBorders/>
            <w:noWrap w:val="0"/>
            <w:vAlign w:val="center"/>
          </w:tcPr>
          <w:p>
            <w:pPr>
              <w:widowControl/>
              <w:jc w:val="left"/>
              <w:rPr>
                <w:rFonts w:ascii="宋体" w:hAnsi="宋体" w:cs="宋体"/>
                <w:color w:val="auto"/>
                <w:kern w:val="0"/>
                <w:szCs w:val="21"/>
              </w:rPr>
            </w:pPr>
          </w:p>
        </w:tc>
        <w:tc>
          <w:tcPr>
            <w:tcW w:w="645" w:type="dxa"/>
            <w:vMerge w:val="continue"/>
            <w:tcBorders/>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7、支持最新版本的火狐、谷歌、微软Edge主流浏览器的在线浏览及播放。用户无需授权或仅需大国长技平台登录授权；</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vMerge w:val="continue"/>
            <w:tcBorders/>
            <w:noWrap w:val="0"/>
            <w:vAlign w:val="center"/>
          </w:tcPr>
          <w:p>
            <w:pPr>
              <w:widowControl/>
              <w:jc w:val="left"/>
              <w:rPr>
                <w:rFonts w:ascii="宋体" w:hAnsi="宋体" w:cs="宋体"/>
                <w:color w:val="auto"/>
                <w:kern w:val="0"/>
                <w:szCs w:val="21"/>
              </w:rPr>
            </w:pPr>
          </w:p>
        </w:tc>
        <w:tc>
          <w:tcPr>
            <w:tcW w:w="645" w:type="dxa"/>
            <w:vMerge w:val="continue"/>
            <w:tcBorders/>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8、具有记录用户体验数字博物馆次数的功能；</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rPr>
                <w:rFonts w:ascii="宋体" w:hAnsi="宋体"/>
                <w:color w:val="auto"/>
                <w:kern w:val="0"/>
                <w:szCs w:val="21"/>
              </w:rPr>
            </w:pPr>
            <w:r>
              <w:rPr>
                <w:rFonts w:ascii="宋体" w:hAnsi="宋体"/>
                <w:color w:val="auto"/>
                <w:kern w:val="0"/>
                <w:szCs w:val="21"/>
              </w:rPr>
              <w:t>9</w:t>
            </w:r>
            <w:r>
              <w:rPr>
                <w:rFonts w:hint="eastAsia" w:ascii="宋体" w:hAnsi="宋体"/>
                <w:color w:val="auto"/>
                <w:kern w:val="0"/>
                <w:szCs w:val="21"/>
              </w:rPr>
              <w:t>、具有数字博物馆内容简介的功能；</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vMerge w:val="restart"/>
            <w:noWrap w:val="0"/>
            <w:vAlign w:val="center"/>
          </w:tcPr>
          <w:p>
            <w:pPr>
              <w:widowControl/>
              <w:jc w:val="left"/>
              <w:rPr>
                <w:rFonts w:ascii="宋体" w:hAnsi="宋体" w:cs="宋体"/>
                <w:color w:val="auto"/>
                <w:kern w:val="0"/>
                <w:szCs w:val="21"/>
              </w:rPr>
            </w:pPr>
          </w:p>
        </w:tc>
        <w:tc>
          <w:tcPr>
            <w:tcW w:w="645" w:type="dxa"/>
            <w:vMerge w:val="restart"/>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adjustRightInd w:val="0"/>
              <w:snapToGrid w:val="0"/>
              <w:rPr>
                <w:rFonts w:ascii="宋体" w:hAnsi="宋体"/>
                <w:color w:val="auto"/>
                <w:kern w:val="0"/>
                <w:szCs w:val="21"/>
              </w:rPr>
            </w:pPr>
            <w:r>
              <w:rPr>
                <w:rFonts w:ascii="宋体" w:hAnsi="宋体"/>
                <w:color w:val="auto"/>
                <w:sz w:val="24"/>
              </w:rPr>
              <w:t>10</w:t>
            </w:r>
            <w:r>
              <w:rPr>
                <w:rFonts w:hint="eastAsia" w:ascii="宋体" w:hAnsi="宋体"/>
                <w:color w:val="auto"/>
                <w:sz w:val="24"/>
              </w:rPr>
              <w:t>、现代农机数字博物馆项目上线后，合作方提供7*24小时的技术服务，并提供所供软件</w:t>
            </w:r>
            <w:r>
              <w:rPr>
                <w:rFonts w:ascii="宋体" w:hAnsi="宋体"/>
                <w:color w:val="auto"/>
                <w:sz w:val="24"/>
              </w:rPr>
              <w:t>3</w:t>
            </w:r>
            <w:r>
              <w:rPr>
                <w:rFonts w:hint="eastAsia" w:ascii="宋体" w:hAnsi="宋体"/>
                <w:color w:val="auto"/>
                <w:sz w:val="24"/>
              </w:rPr>
              <w:t>年免费升级服务（如需增加新的功能模块和需求，迭代开发费用另算）。</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vMerge w:val="continue"/>
            <w:tcBorders/>
            <w:noWrap w:val="0"/>
            <w:vAlign w:val="center"/>
          </w:tcPr>
          <w:p>
            <w:pPr>
              <w:widowControl/>
              <w:jc w:val="left"/>
              <w:rPr>
                <w:rFonts w:ascii="宋体" w:hAnsi="宋体" w:cs="宋体"/>
                <w:color w:val="auto"/>
                <w:kern w:val="0"/>
                <w:szCs w:val="21"/>
              </w:rPr>
            </w:pPr>
          </w:p>
        </w:tc>
        <w:tc>
          <w:tcPr>
            <w:tcW w:w="645" w:type="dxa"/>
            <w:vMerge w:val="continue"/>
            <w:tcBorders/>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6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859"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历史馆</w:t>
            </w:r>
          </w:p>
        </w:tc>
        <w:tc>
          <w:tcPr>
            <w:tcW w:w="175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农机行业历史馆以3D虚拟场景为载体，采用WebGL技术手段，融合3D数字人、AI语音技术，从古代农机、现代农机两个方面介绍本行业发展简史。选用合适的主线组织内容，凸显历史标志，如标志性事件、标志性产品、标志性技术等，呈现行业发展脉络。</w:t>
            </w: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3D场景</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3D场景设计、制作及功能开发</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3D场景设计及功能策划：历史馆场景以室内演播厅为参考，设计3D虚拟场景，墙体背景采用现石器时代、青铜器时代、铁器时代三个不同的时代的图片，并可以进行轮换播放，配合灯光设置，以突现行业历史感；以时代为大类划分各时代的农机工具，辅以3D模型的方式，对展示的农机器具进行讲解-名称、用途、时代，凸显农机器具在石器时代、铁器时代、青铜器时代的变迁。</w:t>
            </w:r>
            <w:r>
              <w:rPr>
                <w:rFonts w:hint="eastAsia" w:ascii="宋体" w:hAnsi="宋体" w:cs="宋体"/>
                <w:color w:val="auto"/>
                <w:kern w:val="0"/>
                <w:szCs w:val="21"/>
              </w:rPr>
              <w:br w:type="textWrapping"/>
            </w:r>
            <w:r>
              <w:rPr>
                <w:rFonts w:hint="eastAsia" w:ascii="宋体" w:hAnsi="宋体" w:cs="宋体"/>
                <w:color w:val="auto"/>
                <w:kern w:val="0"/>
                <w:szCs w:val="21"/>
              </w:rPr>
              <w:t>历史馆采用科普式的游戏，将关于古代农机的器具，分成学习模式和体验模式。学习模式：学习模式对三个时代的不同农机具，进行3D模型、内容介绍、语音技术的展示，让人通俗易懂，能够更直观的体现器具的特点；</w:t>
            </w:r>
            <w:r>
              <w:rPr>
                <w:rFonts w:hint="eastAsia" w:ascii="宋体" w:hAnsi="宋体" w:cs="宋体"/>
                <w:color w:val="auto"/>
                <w:kern w:val="0"/>
                <w:szCs w:val="21"/>
              </w:rPr>
              <w:br w:type="textWrapping"/>
            </w:r>
            <w:r>
              <w:rPr>
                <w:rFonts w:hint="eastAsia" w:ascii="宋体" w:hAnsi="宋体" w:cs="宋体"/>
                <w:color w:val="auto"/>
                <w:kern w:val="0"/>
                <w:szCs w:val="21"/>
              </w:rPr>
              <w:t>体验模式：体验模式结合了游戏风格和元素，让用户在游戏中可以学到更多、了解更多农机器具的用途和使用的时代。</w:t>
            </w:r>
            <w:r>
              <w:rPr>
                <w:rFonts w:hint="eastAsia" w:ascii="宋体" w:hAnsi="宋体" w:cs="宋体"/>
                <w:color w:val="auto"/>
                <w:kern w:val="0"/>
                <w:szCs w:val="21"/>
              </w:rPr>
              <w:br w:type="textWrapping"/>
            </w:r>
            <w:r>
              <w:rPr>
                <w:rFonts w:hint="eastAsia" w:ascii="宋体" w:hAnsi="宋体" w:cs="宋体"/>
                <w:color w:val="auto"/>
                <w:kern w:val="0"/>
                <w:szCs w:val="21"/>
              </w:rPr>
              <w:t>现代农机主要展示现代农用方面用到的机械，按照南北方的差异，在不同的农作物上用不同的机器，最主要以图文、视频和语音的方式来展现；</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8000</w:t>
            </w:r>
          </w:p>
        </w:tc>
        <w:tc>
          <w:tcPr>
            <w:tcW w:w="75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30000</w:t>
            </w:r>
          </w:p>
        </w:tc>
        <w:tc>
          <w:tcPr>
            <w:tcW w:w="855"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100200</w:t>
            </w:r>
          </w:p>
        </w:tc>
        <w:tc>
          <w:tcPr>
            <w:tcW w:w="810" w:type="dxa"/>
            <w:noWrap w:val="0"/>
            <w:vAlign w:val="center"/>
          </w:tcPr>
          <w:p>
            <w:pPr>
              <w:widowControl/>
              <w:jc w:val="center"/>
              <w:rPr>
                <w:rFonts w:hint="eastAsia" w:ascii="宋体" w:hAnsi="宋体" w:cs="宋体"/>
                <w:color w:val="auto"/>
                <w:kern w:val="0"/>
                <w:szCs w:val="21"/>
              </w:rPr>
            </w:pPr>
          </w:p>
        </w:tc>
        <w:tc>
          <w:tcPr>
            <w:tcW w:w="645" w:type="dxa"/>
            <w:noWrap w:val="0"/>
            <w:vAlign w:val="center"/>
          </w:tcPr>
          <w:p>
            <w:pPr>
              <w:widowControl/>
              <w:jc w:val="center"/>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2、3D模型制作：</w:t>
            </w:r>
            <w:r>
              <w:rPr>
                <w:rFonts w:hint="eastAsia" w:ascii="宋体" w:hAnsi="宋体" w:cs="宋体"/>
                <w:color w:val="auto"/>
                <w:kern w:val="0"/>
                <w:szCs w:val="21"/>
              </w:rPr>
              <w:br w:type="textWrapping"/>
            </w:r>
            <w:r>
              <w:rPr>
                <w:rFonts w:hint="eastAsia" w:ascii="宋体" w:hAnsi="宋体" w:cs="宋体"/>
                <w:color w:val="auto"/>
                <w:kern w:val="0"/>
                <w:szCs w:val="21"/>
              </w:rPr>
              <w:t>（1）以3D场景设计思路，采用3D建模、高模烘焙低模技术；</w:t>
            </w:r>
            <w:r>
              <w:rPr>
                <w:rFonts w:hint="eastAsia" w:ascii="宋体" w:hAnsi="宋体" w:cs="宋体"/>
                <w:color w:val="auto"/>
                <w:kern w:val="0"/>
                <w:szCs w:val="21"/>
              </w:rPr>
              <w:br w:type="textWrapping"/>
            </w:r>
            <w:r>
              <w:rPr>
                <w:rFonts w:hint="eastAsia" w:ascii="宋体" w:hAnsi="宋体" w:cs="宋体"/>
                <w:color w:val="auto"/>
                <w:kern w:val="0"/>
                <w:szCs w:val="21"/>
              </w:rPr>
              <w:t>（2）符合PBR材质制作的UV展开；</w:t>
            </w:r>
            <w:r>
              <w:rPr>
                <w:rFonts w:hint="eastAsia" w:ascii="宋体" w:hAnsi="宋体" w:cs="宋体"/>
                <w:color w:val="auto"/>
                <w:kern w:val="0"/>
                <w:szCs w:val="21"/>
              </w:rPr>
              <w:br w:type="textWrapping"/>
            </w:r>
            <w:r>
              <w:rPr>
                <w:rFonts w:hint="eastAsia" w:ascii="宋体" w:hAnsi="宋体" w:cs="宋体"/>
                <w:color w:val="auto"/>
                <w:kern w:val="0"/>
                <w:szCs w:val="21"/>
              </w:rPr>
              <w:t>（3）符合WEBGL及移动平台的材质规格及模型面数；</w:t>
            </w:r>
            <w:r>
              <w:rPr>
                <w:rFonts w:hint="eastAsia" w:ascii="宋体" w:hAnsi="宋体" w:cs="宋体"/>
                <w:color w:val="auto"/>
                <w:kern w:val="0"/>
                <w:szCs w:val="21"/>
              </w:rPr>
              <w:br w:type="textWrapping"/>
            </w:r>
            <w:r>
              <w:rPr>
                <w:rFonts w:hint="eastAsia" w:ascii="宋体" w:hAnsi="宋体" w:cs="宋体"/>
                <w:color w:val="auto"/>
                <w:kern w:val="0"/>
                <w:szCs w:val="21"/>
              </w:rPr>
              <w:t>（4）Substance Painter制作PBR材质；</w:t>
            </w:r>
            <w:r>
              <w:rPr>
                <w:rFonts w:hint="eastAsia" w:ascii="宋体" w:hAnsi="宋体" w:cs="宋体"/>
                <w:color w:val="auto"/>
                <w:kern w:val="0"/>
                <w:szCs w:val="21"/>
              </w:rPr>
              <w:br w:type="textWrapping"/>
            </w:r>
            <w:r>
              <w:rPr>
                <w:rFonts w:hint="eastAsia" w:ascii="宋体" w:hAnsi="宋体" w:cs="宋体"/>
                <w:color w:val="auto"/>
                <w:kern w:val="0"/>
                <w:szCs w:val="21"/>
              </w:rPr>
              <w:t>（5）在UNITY引擎中使用URP渲染管线烘焙光照后以WEBGL输出展示版本；</w:t>
            </w:r>
            <w:r>
              <w:rPr>
                <w:rFonts w:hint="eastAsia" w:ascii="宋体" w:hAnsi="宋体" w:cs="宋体"/>
                <w:color w:val="auto"/>
                <w:kern w:val="0"/>
                <w:szCs w:val="21"/>
              </w:rPr>
              <w:br w:type="textWrapping"/>
            </w:r>
            <w:r>
              <w:rPr>
                <w:rFonts w:hint="eastAsia" w:ascii="宋体" w:hAnsi="宋体" w:cs="宋体"/>
                <w:color w:val="auto"/>
                <w:kern w:val="0"/>
                <w:szCs w:val="21"/>
              </w:rPr>
              <w:t>（6）符合WEBGL的场景氛围特效；</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8000</w:t>
            </w:r>
          </w:p>
        </w:tc>
        <w:tc>
          <w:tcPr>
            <w:tcW w:w="75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3、UI设计：根据游戏策划方案，分解UI界面设计、页面布局等；</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3000</w:t>
            </w:r>
          </w:p>
        </w:tc>
        <w:tc>
          <w:tcPr>
            <w:tcW w:w="75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4、功能开发：采用科普式的游戏，将关于古代农机的器具，分成学习模式和体验模式，采用WEBGL、AI语音技术，对展示的农机器具进行讲解-名称、用途、时代，凸显农机器具在石器时代、铁器时代、青铜器时代的变迁。现代农机主要以图文、视频和语音的方式来展现；</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9000</w:t>
            </w:r>
          </w:p>
        </w:tc>
        <w:tc>
          <w:tcPr>
            <w:tcW w:w="75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5、功能测试及验证：根据策划方案，进行集成测试与系统测试，功能、性能及硬件环境测试。</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2000</w:t>
            </w:r>
          </w:p>
        </w:tc>
        <w:tc>
          <w:tcPr>
            <w:tcW w:w="75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石器时代</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石铲</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1、文字介绍：石器时代用于除草的农具；</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展示、格式为FBX，可进行旋转，缩放。展示风格为写实风格；3D模型面数：三边面不高于500；材质分辨率2048*2048，贴图材质为PBR材质，一共有四/五张贴图，分别为Albedomap（固有色贴图）、Normalmap（法线贴图）、Roughnessmap（粗糙度贴图）或Metallicmap(金属度贴图）Ambient Occlusionmap（环境光遮蔽贴图）的格式为jpg/png；模型不能出现穿帮、破面。</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3、AI语音播报内容“石铲，原始社会用于垦荒、除草的农具。”</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石犁</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1、文字介绍：石器时代用于犁田的农具</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展示、格式为FBX，可进行旋转，缩放。展示风格为写实风格；3D模型面数：三边面不高于400；材质分辨率2048*2048，贴图材质为PBR材质，一共有四/五张贴图，分别为Albedomap（固有色贴图）、Normalmap（法线贴图）、Roughnessmap（粗糙度贴图）或Metallicmap(金属度贴图）Ambient Occlusionmap（环境光遮蔽贴图）的格式为jpg/png；模型不能出现穿帮、破面。</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3、AI语音播报内容“石犁，新石器时代安装于木质犁床上用于耕地翻土的农具。”</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石斧</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1、文字介绍：石器时代用于砍伐的农具</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展示、格式为FBX，可进行旋转，缩放。展示风格为写实风格；3D模型面数：三边面不高于800；材质分辨率2048*2048，贴图材质为PBR材质，一共有四/五张贴图，分别为Albedomap（固有色贴图）、Normalmap（法线贴图）、Roughnessmap（粗糙度贴图）或Metallicmap(金属度贴图）Ambient Occlusionmap（环境光遮蔽贴图）的格式为jpg/png；模型不能出现穿帮、破面。</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3、AI语音播报内容“石斧,是远古时代用于砍伐等多种用途的石质工具。”</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耒耜</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1、文字介绍：石器时代用于翻土的农具</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展示、格式为FBX，可进行旋转，缩放。展示风格为写实风格；3D模型面数：三边面不高于1000；材质分辨率2048*2048，贴图材质为PBR材质，一共有四/五张贴图，分别为Albedomap（固有色贴图）、Normalmap（法线贴图）、Roughnessmap（粗糙度贴图）或Metallicmap(金属度贴图）Ambient Occlusionmap（环境光遮蔽贴图）的格式为jpg/png；模型不能出现穿帮、破面。</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3、AI语音播报内容“耒耜， 古代耕地翻土的农具，其材料从早期的木制发展出石质、骨质或陶质，随着农业生产的发展, 人们又将耒耜发展成犁。”</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骨镰</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1、文字介绍：石器时代用于收割的农具</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展示、格式为FBX，可进行旋转，缩放。展示风格为写实风格；3D模型面数：三边面不高于500；材质分辨率2048*2048，贴图材质为PBR材质，一共有四/五张贴图，分别为Albedomap（固有色贴图）、Normalmap（法线贴图）、Roughnessmap（粗糙度贴图）或Metallicmap(金属度贴图）Ambient Occlusionmap（环境光遮蔽贴图）的格式为jpg/png；模型不能出现穿帮、破面。</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3、AI语音播报内容“骨镰，新石器时代用来收割粟的工具。”</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青铜器时代</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桔槔</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1、文字介绍：青铜器时代用于灌溉的农具</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展示、格式为FBX，可进行旋转，缩放。展示风格为写实风格；3D模型面数：三边面不高于2000；材质分辨率2048*2048，贴图材质为PBR材质，一共有四/五张贴图，分别为Albedomap（固有色贴图）、Normalmap（法线贴图）、Roughnessmap（粗糙度贴图）或Metallicmap(金属度贴图）Ambient Occlusionmap（环境光遮蔽贴图）的格式为jpg/png；模型不能出现穿帮、破面。</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3、AI语音播报内容“桔槔是一种原始的汲水工具。商代在农业灌溉方面，开始采用桔槔。是一种利用杠杆原理的取水机械。”</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铜铲</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1、文字介绍：青铜器时代用于除草的农具</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展示、格式为FBX，可进行旋转，缩放。展示风格为写实风格；3D模型面数：三边面不高于600；材质分辨率2048*2048，贴图材质为PBR材质，一共有四/五张贴图，分别为Albedomap（固有色贴图）、Normalmap（法线贴图）、Roughnessmap（粗糙度贴图）或Metallicmap(金属度贴图）Ambient Occlusionmap（环境光遮蔽贴图）的格式为jpg/png；模型不能出现穿帮、破面。</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3、AI语音播报内容“铜铲，铲土除草时用的青铜器农具。”</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铜锄</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1、文字介绍：青铜器时代用于翻土的农具</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展示、格式为FBX，可进行旋转，缩放。展示风格为写实风格；3D模型面数：三边面不高于500；材质分辨率2048*2048，贴图材质为PBR材质，一共有四/五张贴图，分别为Albedomap（固有色贴图）、Normalmap（法线贴图）、Roughnessmap（粗糙度贴图）或Metallicmap(金属度贴图）Ambient Occlusionmap（环境光遮蔽贴图）的格式为jpg/png；模型不能出现穿帮、破面。</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3、AI语音播报内容“铜锄 ，翻土时用的青铜农具。”</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木犁</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1、文字介绍：青铜器时代用于犁田的农具</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展示、格式为FBX，可进行旋转，缩放。展示风格为写实风格；3D模型面数：三边面不高于1000；材质分辨率2048*2048，贴图材质为PBR材质，一共有四/五张贴图，分别为Albedomap（固有色贴图）、Normalmap（法线贴图）、Roughnessmap（粗糙度贴图）或Metallicmap(金属度贴图）Ambient Occlusionmap（环境光遮蔽贴图）的格式为jpg/png；模型不能出现穿帮、破面。</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3、AI语音播报内容“木犁，汉代以牛牵引用于翻土，犁铧、犁壁为铁制，其余皆木制，用于农田或旱地的耕作。”</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青铜镰</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1、文字介绍：青铜器时代用于收割的农具</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展示、格式为FBX，可进行旋转，缩放。展示风格为写实风格；3D模型面数：三边面不高于500；材质分辨率2048*2048，贴图材质为PBR材质，一共有四/五张贴图，分别为Albedomap（固有色贴图）、Normalmap（法线贴图）、Roughnessmap（粗糙度贴图）或Metallicmap(金属度贴图）Ambient Occlusionmap（环境光遮蔽贴图）的格式为jpg/png；模型不能出现穿帮、破面。</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3、AI语音播报内容“青铜镰，割庄稼或草的农具。”</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青铜斧</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1、文字介绍：青铜器时代用于砍伐的农具</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展示、格式为FBX，可进行旋转，缩放。展示风格为写实风格；3D模型面数：三边面不高于500；材质分辨率2048*2048，贴图材质为PBR材质，一共有四/五张贴图，分别为Albedomap（固有色贴图）、Normalmap（法线贴图）、Roughnessmap（粗糙度贴图）或Metallicmap(金属度贴图）Ambient Occlusionmap（环境光遮蔽贴图）的格式为jpg/png；模型不能出现穿帮、破面。</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3、AI语音播报内容“青铜斧，是继新石器时代大量使用的石斧之后出现的砍伐工具。”</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铁器时代</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风谷机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1、文字介绍：铁器时代用于灌溉的农具</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展示、格式为FBX，可进行旋转，缩放。展示风格为写实风格；3D模型面数：三边面不高于500；材质分辨率2048*2048，贴图材质为PBR材质，一共有四/五张贴图，分别为Albedomap（固有色贴图）、Normalmap（法线贴图）、Roughnessmap（粗糙度贴图）或Metallicmap(金属度贴图）Ambient Occlusionmap（环境光遮蔽贴图）的格式为jpg/png；模型不能出现穿帮、破面。</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3、AI语音播报内容“风谷机，我国农业种植中用来去除水稻等农作物子实中杂质、瘪粒、秸杆屑等的木制传统农具。”</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耙头</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1、文字介绍：铁器时代用于翻土的农具</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展示、格式为FBX，可进行旋转，缩放。展示风格为写实风格；3D模型面数：三边面不高于500；材质分辨率2048*2048，贴图材质为PBR材质，一共有四/五张贴图，分别为Albedomap（固有色贴图）、Normalmap（法线贴图）、Roughnessmap（粗糙度贴图）或Metallicmap(金属度贴图）Ambient Occlusionmap（环境光遮蔽贴图）的格式为jpg/png；模型不能出现穿帮、破面。</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3、AI语音播报内容“耙头，一头是铁制的，一头是木制的，使用时两手一前一后，在前一手用力向下刨，可将较密实的土块儿挖起，亦可将较松散的土壤搂得更疏松。”</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筒车</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1、文字介绍：铁器时代用于灌溉的农具</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展示、格式为FBX，可进行旋转，缩放。展示风格为写实风格；3D模型面数：三边面不高于800；材质分辨率2048*2048，贴图材质为PBR材质，一共有四/五张贴图，分别为Albedomap（固有色贴图）、Normalmap（法线贴图）、Roughnessmap（粗糙度贴图）或Metallicmap(金属度贴图）Ambient Occlusionmap（环境光遮蔽贴图）的格式为jpg/png；模型不能出现穿帮、破面。</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3、AI语音播报内容“筒车，一种以水流作动力，取水灌田的工具。利用湍急的水流转动车轮，使装在车轮上的水筒，自动戽水，提上岸来进行灌溉，按照材质分竹筒车和木筒车两种。”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曲辕犁</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1、文字介绍：铁器时代用于犁田的农具</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展示、格式为FBX，可进行旋转，缩放。展示风格为写实风格；3D模型面数：三边面不高于1500；材质分辨率2048*2048，贴图材质为PBR材质，一共有四/五张贴图，分别为Albedomap（固有色贴图）、Normalmap（法线贴图）、Roughnessmap（粗糙度贴图）或Metallicmap(金属度贴图）Ambient Occlusionmap（环境光遮蔽贴图）的格式为jpg/png；模型不能出现穿帮、破面。</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曲辕犁，是唐代中国劳动人民发明的耕犁。将直辕、长辕改为曲辕、短辕，并在辕头安装可以自由转动的犁盘，这样不仅使犁架变小变轻，而且便于调头和转弯，操作灵活，节省人力和牲畜。”</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秧马</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1、文字介绍：铁器时代插秧时用的农具</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展示、格式为FBX，可进行旋转，缩放。展示风格为写实风格；3D模型面数：三边面不高于500；材质分辨率2048*2048，贴图材质为PBR材质，一共有四/五张贴图，分别为Albedomap（固有色贴图）、Normalmap（法线贴图）、Roughnessmap（粗糙度贴图）或Metallicmap(金属度贴图）Ambient Occlusionmap（环境光遮蔽贴图）的格式为jpg/png；模型不能出现穿帮、破面。</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3、AI语音播报内容“秧马，种植水稻时，用于插秧和拔秧的工具。其外形似小船，头尾翘起，背面象瓦，供一人骑坐其腹以枣木或榆木制成，背部用楸木或桐木。”</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铁镰</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1、文字介绍：铁器时代用于收割的农具</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展示、格式为FBX，可进行旋转，缩放。展示风格为写实风格；3D模型面数：三边面不高于500；材质分辨率2048*2048，贴图材质为PBR材质，一共有四/五张贴图，分别为Albedomap（固有色贴图）、Normalmap（法线贴图）、Roughnessmap（粗糙度贴图）或Metallicmap(金属度贴图）Ambient Occlusionmap（环境光遮蔽贴图）的格式为jpg/png；模型不能出现穿帮、破面。</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3、AI语音播报内容“铁镰，新石器时代用来收割粟的工具。”</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铁铲</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1、文字介绍：铁器时代用于除草的农具</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展示、格式为FBX，可进行旋转，缩放。展示风格为写实风格；3D模型面数：三边面不高于500；材质分辨率2048*2048，贴图材质为PBR材质，一共有四/五张贴图，分别为Albedomap（固有色贴图）、Normalmap（法线贴图）、Roughnessmap（粗糙度贴图）或Metallicmap(金属度贴图）Ambient Occlusionmap（环境光遮蔽贴图）的格式为jpg/png；模型不能出现穿帮、破面。</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3、AI语音播报内容“铁铲，主要是用来除草和松土的农具。”</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铁斧</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1、文字介绍：铁器时代用于砍伐的农具</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展示、格式为FBX，可进行旋转，缩放。展示风格为写实风格；3D模型面数：三边面不高于500；材质分辨率2048*2048，贴图材质为PBR材质，一共有四/五张贴图，分别为Albedomap（固有色贴图）、Normalmap（法线贴图）、Roughnessmap（粗糙度贴图）或Metallicmap(金属度贴图）Ambient Occlusionmap（环境光遮蔽贴图）的格式为jpg/png；模型不能出现穿帮、破面。</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3、AI语音播报内容“铁斧，战国时期用来砍伐的工具。”</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现代</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小麦收割机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1、文字介绍：小麦收割机是依靠汽油机为动力，通过传动轴带动锯齿片高速度旋转，从而起到了收割的作用，而刀片上面的扶稻器和挡板起到了收割的小麦条铺堆放的功能。</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3、视频介绍：对小麦收割机的功能，以及用途进行简单的介绍。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玉米收获机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1、文字介绍：玉米收获机是在玉米成熟时用机械对玉米一次完成摘穗、堆集、茎杆一次还田等多项作业的农机具。 工艺流程：用玉米收获机在玉米生长状态下进行摘穗（称为站秆摘穗），在摘穗辊和摘穗板的作用下，果穗柄被拉断。由于内外摘辊高度差的作用，果穗落入果穗箱，果穗装满后开箱集堆。高速旋转的切割器从根部把秸秆切断后进入粉碎机构切碎为3－5CM长的碎块，切碎后秸秆自然落地。然后将果穗运到场上，用剥皮机进行剥皮，经晾晒后脱粒。</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3、视频介绍：对玉米收获机的功能，以及用途进行简单的介绍。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甘蔗种植开行犁</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1、文字介绍：适用于对已耕翻、耙碎平整好的蔗地进行开行作业。</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2、图片介绍产品：以甘蔗种植开行犁为主要内容，展示该产品形态；图片尺寸800*800，图片格式：jpg/png。</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水田犁</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1、文字介绍：用来犁水田使用。</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2、图片介绍产品：以水田犁为主要内容，展示该产品形态；图片尺寸800*800,图片格式：jpg/png。</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水稻收割机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按结构可分为履带式水稻收割机、手扶式水稻收割机、小型水稻收割机。履带式水稻收割机适用于地块大的地区；小型水稻收割机具有重量轻、动力强劲、操作舒适、劳动强度低、收割干净等特点，适用于平原、丘陵、梯田、三角地等小田块。</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3、视频介绍产品：对水稻收割机的功能，以及用途进行简单的介绍。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水稻抛秧机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水稻抛秧机，将水稻秧苗以抛撒的方式栽植到本田的机械。按作用于秧苗的动力,分机械离心式和气流式。前者由动力机、传动机构、秧箱、喂秧斗、带导秧轨的抛秧锥盘等组成;作业时,带土秧苗自喂秧斗喂至高速转动的抛秧锥盘,在离心力作用下,秧苗被抛至空中自由下落栽入本田。后者由动力机、风机、秧箱、稳流器、导流板、导流槽、喷管等组成;作业时,风机产生的高速气流经喷管喷出,将喂入导流槽的秧苗抛向田间。</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3、视频介绍：对水稻抛秧机的功能，以及用途进行简单的介绍。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割台</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1、文字介绍：割台部分割台作用是将站立作物切割下来,并均匀地输送到过桥中，其中包括:切割器、拨禾轮、中央搅龙及传动部件。</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2、图片介绍产品：以割台为主要内容，展示该产品形态；图片尺寸800*800,图片格式：jpg/png。</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翻转犁</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翻转犁是拖拉机配套使用的，由双联分配器控制犁的升降和犁的翻转。翻转犁包括悬挂架、翻转油缸、止回机构、地轮机构、犁架和犁体，通过油缸中活塞杆的伸缩带动犁架上的正反向犁体作垂直翻转运动，交替更换到工作位置。</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2、图片介绍产品：以翻转犁为主要内容，展示该产品形态；图片尺寸800*800,图片格式：jpg/png。</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铧式犁</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铧式犁是一种耕地的农具，为全悬挂式铧式犁，由在一根横梁端部的厚重的刃构成，通常系在一组牵引它的牲畜或机动车上，也有用人力来驱动的，用来破碎土块并耕出槽沟从而为播种做好准备。具有打破犁底层、恢复土壤耕层结构、提高土壤蓄水保墒能力、消灭部分杂草、减少病虫害、平整地表以及提高农业机械化作业标准等作用。</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2、图片介绍产品：以铧式犁为主要内容，展示该产品形态；图片尺寸800*800,图片格式：jpg/png。</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链条开沟机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链式开沟机是一种高效实用的新型链条式开沟装置。其主要由动力系统、减速系统、链条传动系统和分土系统组成。柴油机经过皮带将转动传递到离合器后，驱动行走变速箱、传动轴、后桥等来实现链条式开沟机的向前或向后的直线运动。</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2、图片介绍产品：以链条开沟机为主要内容，展示该产品形态；图片尺寸800*800,图片格式：jpg/png。</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农产品干燥机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1、文字介绍：农业烘干机是传统干燥设备之一，设备运转可靠，操作弹性大、 适应性强、处理能力大，广泛应用于粮食、食品、沙、糖等领域。</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3、视频介绍：对农产品干燥机的功能，以及用途进行简单的介绍。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深松机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深松机是一种与大马力拖拉机配套使用的耕作机械，主要用于行间或全方位的深层土壤耕作的机械化翻整。使用深松机作业有利于改善土壤耕层结构，打破犁底层，提高土壤蓄水保墒的能力，促进粮食增长。具有打破犁底层、恢复土壤耕层结构、提高土壤蓄水保墒能力、消灭部分杂草、减少病虫害、平整地表以及提高农业机械化作业标准等作用。</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2、图片介绍产品：以深松机为主要内容，展示该产品形态；图片尺寸800*800,图片格式：jpg/png。</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微耕机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微耕机以小型柴油机或汽油机为动力，具有重量轻，体积小，结构简单等特点。微耕机广泛适用于平原、山区、丘陵的旱地、水田、果园等。配上相应机具可进行抽水、发电、喷药、喷淋等作业，还可牵引拖挂车进行短途运输，微耕机可以在田间自由行使，便于用户使用和存放，省去了大型农用机械无法进入山区田块的烦恼，是广大农民消费者替代牛耕的最佳选择。</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2、图片介绍产品：以微耕机为主要内容，展示该产品形态；图片尺寸1600*800,图片格式：jpg/png。</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育苗土压块机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1、文字介绍：将蔬菜 、花卉等作物所需要的营养物质和粘土按科学配比压制成型。</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2、图片介绍产品：以育苗土压块机为主要内容，展示该产品形态；图片尺寸800*800,图片格式：jpg/png。</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割草机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割草机是一种用于修剪草坪、植被等的机械工具，它是由刀盘、发动机、行走轮、行走机构、刀片、扶手、控制部分组成。刀盘装在行走轮上，刀盘上装有发动机，发动机的输出轴上装有刀片，刀片利用发动机的高速旋转在速度方面提高很多，节省了除草工人的作业时间，减少了大量的人力资源。</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2、图片介绍产品：以割草机为主要内容，展示该产品形态；图片尺寸800*800,图片格式：jpg/png。</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谷物联合收割机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1、文字介绍：是能够一次完成谷类作物的收割、脱粒、分离茎杆、清除杂余物等工序，从田间直接获取谷粒的收获机械。</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3、视频介绍：对谷物联合收割机的功能，用途进行简单的描述。</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离心泵</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离心泵是利用叶轮旋转而使水发生离心运动来工作的。水泵在启动前，必须使泵壳和吸水管内充满水，然后启动电机，使泵轴带动叶轮和水做高速旋转运动，水发生离心运动，被甩向叶轮外缘，经蜗形泵壳的流道流入水泵的压水管路。</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2、图片介绍产品：以离心泵为主要内容，展示该产品形态；图片尺寸800*800,图片格式：jpg/png。</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碾米机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1、文字介绍：碾米机主要由固定扳手，加紧螺帽扳手，毛刷，下料斗，砂轮 ，钢丝刷等组成。运用机械设备广生的机械作用力对糙米进行去皮碾白，所用机械设备称为碾米机。</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3、视频介绍：对碾米机的功能，用途进行简单的描述。</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喷灌机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喷灌机是将具有一定压力的水，通过专用机具设备由喷头喷射到空中，散成细小水滴，像下蒙蒙雨一样均匀地洒落在田间，供给农作物和花卉苗木等植物对水分的需求。将增压、输水、喷洒、行走等装置连成一个可移动的整体，称为喷灌机。</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2、图片介绍产品：以喷灌机为主要内容，展示该产品形态；图片尺寸800*800,图片格式：jpg/png。</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双轴施肥机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1、文字介绍：把禽畜粪便、发酵后的有机肥、厩肥(包括堆肥)进行抛撒还田的新型农机具</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2、图片介绍产品：以双轴施肥机为主要内容，展示该产品形态；图片尺寸800*800,图片格式：jpg/png。</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育苗播种机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1、文字介绍：用于某类或某种作物育苗的播种机</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3、视频介绍：对育苗播种机的功能，用途进行简单的描述。</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阻断铺膜机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地膜不仅能够提高地温、保水、保土、保肥提高肥效，而且还有灭草、防病虫、防旱抗涝、抑盐保苗、改进近地面光热条件，使产品卫生清洁等多项功能。对于刚出土的幼苗来说，具有护根促长等作用。一般由开沟器、压膜轮、覆土器、框架等构成。有些还安装了电动喷雾器装置，满足在覆膜的时候喷洒除草剂、杀虫剂等农药。</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2、图片介绍产品：以阻断铺膜机为主要内容，展示该产品形态；图片尺寸900*900,图片格式：jpg/png。</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拖拉机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拖拉机用于牵引和驱动作业机械完成各项移动式作业的自走式动力机。也可做固定作业动力。由发动机、传动、行走、转向、液压悬挂、动力输出、电器仪表、驾驶操纵及牵引等系统或装置组成。发动机动力由传动系统传给驱动轮，使拖拉机行驶，现实生活中，常见的都是以橡胶皮带作为动力传送的媒介。按功能和用途分农业、工业和特殊用途等拖拉机；按结构类型分轮式、履带式、船形拖拉机和自走底盘等。</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3、视频介绍：对拖拉机的功能，用途进行简单的描述。</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旋耕机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旋耕机是与拖拉机配套完成耕、耙作业的耕耘机械。因其具有碎土能力强、耕后地表平坦等特点，而得到了广泛的应用；同时能够切碎埋在地表以下的根茬，便于播种机作业，为后期播种提供良好种床。</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按其旋耕刀轴的配置方式分为横轴式，立轴式和斜置式三类。正确使用和调整旋耕机，对保持其良好技术状态，确保耕作质量是很重要的。</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旋耕机具有打破犁底层、恢复土壤耕层结构、提高土壤蓄水保墒能力、消灭部分杂草、减少病虫害、平整地表以及提高农业机械化作业标准等作用。</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3、视频介绍：对旋耕机的功能，用途进行简单的描述。</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值保无人机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1、文字介绍：农业植保无人机主要广泛用于农业方面，其过程是通过地面遥控或GPS飞控，来实现喷洒作业，可以喷洒药剂、种子、粉剂等操作流程的。</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2、AI语音播报的内容为设备的文字介绍。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3、视频介绍：对值保无人机的功能，用途进行简单的描述。</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3D数字虚拟人</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3D数字虚拟人物形象设计及制作</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1、3D数字人物形象设计、风格设计及确定，建设一个身着衬衫、脚穿皮鞋的现代农机行业形象的3D数字人；</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2、根据形象设计3D模型，采用3Dmax制作，高模烘焙低模；符合人体及骨骼绑定的拓扑布线；进行模型搭建，进行UV设计，绘制贴图；</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3、烘焙和UV展开，为角色添加一些细节，进行烘焙，以便照明和着色器效果正常运行。</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4、纹理和材料工作，建模程序允许我们将纹理和材料明暗器应用到3D角色的每个方面，这一步我们可以添加服装、面部毛发，并最终确定想要设计的颜色。</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5000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3D数字人物动作设计及制作</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角色绑定 (Rigging): 将3D人物模型绑定到一个骨骼结构上，使得模型能够进行动画控制。</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5000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动画制作 (Animation): 通过控制骨骼结构，制作出人物的各种动作，例如并具备基本动作，包括人物行走、眨眼、说话等。</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5000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动画编辑 (Animation Editing): 对已有的动画进行编辑、合并和修正，以达到更好的动画效果</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5000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动画渲染 (Animation Rendering) : 将动画染成视频或图像序列，准备用于最终的制作或播放</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5000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859"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产品馆</w:t>
            </w:r>
          </w:p>
        </w:tc>
        <w:tc>
          <w:tcPr>
            <w:tcW w:w="175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以3D场景为载体，采用Web3D技术，主要展现典型工作设备及产品，对典型产品设备的外观、内部构造、特性及工作原理等方面进行动态直观的展示，让用户更全面了解产品设备。主要从农机行业具有典型代表的农机设备进行重点建设。</w:t>
            </w: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3D场景</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3D场景设计、制作及功能开发</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1、为了能让用户更加清晰的了解农机设备，以大型设备的仓库为参考，辅以聚光灯效果，突现设备的方式进行3D场景设计。</w:t>
            </w:r>
            <w:r>
              <w:rPr>
                <w:rFonts w:hint="eastAsia" w:ascii="宋体" w:hAnsi="宋体" w:cs="宋体"/>
                <w:color w:val="auto"/>
                <w:kern w:val="0"/>
                <w:szCs w:val="21"/>
              </w:rPr>
              <w:br w:type="textWrapping"/>
            </w:r>
            <w:r>
              <w:rPr>
                <w:rFonts w:hint="eastAsia" w:ascii="宋体" w:hAnsi="宋体" w:cs="宋体"/>
                <w:color w:val="auto"/>
                <w:kern w:val="0"/>
                <w:szCs w:val="21"/>
              </w:rPr>
              <w:t>功能策划：以3D场景为载体，采用3D建模技术。在点击左侧产品名称时，可以更换产品展示，在更换产品时，对应的产品从仓库的灯光昏暗处，缓慢驶出，停止在3D场景的正中间。右侧从介绍、优势、展示三个方面，对设备进行介绍，从产品工作的动画、产品的相关图文、视频介绍结合AI语音讲解来向用户展示产品，让用户对农机设备有更加深入的认知；</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30000</w:t>
            </w:r>
          </w:p>
        </w:tc>
        <w:tc>
          <w:tcPr>
            <w:tcW w:w="855"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105000</w:t>
            </w:r>
          </w:p>
        </w:tc>
        <w:tc>
          <w:tcPr>
            <w:tcW w:w="810" w:type="dxa"/>
            <w:noWrap w:val="0"/>
            <w:vAlign w:val="center"/>
          </w:tcPr>
          <w:p>
            <w:pPr>
              <w:widowControl/>
              <w:jc w:val="center"/>
              <w:rPr>
                <w:rFonts w:hint="eastAsia" w:ascii="宋体" w:hAnsi="宋体" w:cs="宋体"/>
                <w:color w:val="auto"/>
                <w:kern w:val="0"/>
                <w:szCs w:val="21"/>
              </w:rPr>
            </w:pPr>
          </w:p>
        </w:tc>
        <w:tc>
          <w:tcPr>
            <w:tcW w:w="645" w:type="dxa"/>
            <w:noWrap w:val="0"/>
            <w:vAlign w:val="center"/>
          </w:tcPr>
          <w:p>
            <w:pPr>
              <w:widowControl/>
              <w:jc w:val="center"/>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2、3D模型制作：</w:t>
            </w:r>
            <w:r>
              <w:rPr>
                <w:rFonts w:hint="eastAsia" w:ascii="宋体" w:hAnsi="宋体" w:cs="宋体"/>
                <w:color w:val="auto"/>
                <w:kern w:val="0"/>
                <w:szCs w:val="21"/>
              </w:rPr>
              <w:br w:type="textWrapping"/>
            </w:r>
            <w:r>
              <w:rPr>
                <w:rFonts w:hint="eastAsia" w:ascii="宋体" w:hAnsi="宋体" w:cs="宋体"/>
                <w:color w:val="auto"/>
                <w:kern w:val="0"/>
                <w:szCs w:val="21"/>
              </w:rPr>
              <w:t>（1）、以3D场景设计思路，采用3D建模、高模烘焙低模技术；</w:t>
            </w:r>
            <w:r>
              <w:rPr>
                <w:rFonts w:hint="eastAsia" w:ascii="宋体" w:hAnsi="宋体" w:cs="宋体"/>
                <w:color w:val="auto"/>
                <w:kern w:val="0"/>
                <w:szCs w:val="21"/>
              </w:rPr>
              <w:br w:type="textWrapping"/>
            </w:r>
            <w:r>
              <w:rPr>
                <w:rFonts w:hint="eastAsia" w:ascii="宋体" w:hAnsi="宋体" w:cs="宋体"/>
                <w:color w:val="auto"/>
                <w:kern w:val="0"/>
                <w:szCs w:val="21"/>
              </w:rPr>
              <w:t>（2）、符合PBR材质制作的UV展开；</w:t>
            </w:r>
            <w:r>
              <w:rPr>
                <w:rFonts w:hint="eastAsia" w:ascii="宋体" w:hAnsi="宋体" w:cs="宋体"/>
                <w:color w:val="auto"/>
                <w:kern w:val="0"/>
                <w:szCs w:val="21"/>
              </w:rPr>
              <w:br w:type="textWrapping"/>
            </w:r>
            <w:r>
              <w:rPr>
                <w:rFonts w:hint="eastAsia" w:ascii="宋体" w:hAnsi="宋体" w:cs="宋体"/>
                <w:color w:val="auto"/>
                <w:kern w:val="0"/>
                <w:szCs w:val="21"/>
              </w:rPr>
              <w:t>（3）、符合WEBGL及移动平台的材质规格及模型面数；</w:t>
            </w:r>
            <w:r>
              <w:rPr>
                <w:rFonts w:hint="eastAsia" w:ascii="宋体" w:hAnsi="宋体" w:cs="宋体"/>
                <w:color w:val="auto"/>
                <w:kern w:val="0"/>
                <w:szCs w:val="21"/>
              </w:rPr>
              <w:br w:type="textWrapping"/>
            </w:r>
            <w:r>
              <w:rPr>
                <w:rFonts w:hint="eastAsia" w:ascii="宋体" w:hAnsi="宋体" w:cs="宋体"/>
                <w:color w:val="auto"/>
                <w:kern w:val="0"/>
                <w:szCs w:val="21"/>
              </w:rPr>
              <w:t>（4）、Substance Painter制作PBR材质；</w:t>
            </w:r>
            <w:r>
              <w:rPr>
                <w:rFonts w:hint="eastAsia" w:ascii="宋体" w:hAnsi="宋体" w:cs="宋体"/>
                <w:color w:val="auto"/>
                <w:kern w:val="0"/>
                <w:szCs w:val="21"/>
              </w:rPr>
              <w:br w:type="textWrapping"/>
            </w:r>
            <w:r>
              <w:rPr>
                <w:rFonts w:hint="eastAsia" w:ascii="宋体" w:hAnsi="宋体" w:cs="宋体"/>
                <w:color w:val="auto"/>
                <w:kern w:val="0"/>
                <w:szCs w:val="21"/>
              </w:rPr>
              <w:t>（5）、在UNITY引擎中使用URP渲染管线烘焙光照后以WEBGL输出展示版本；</w:t>
            </w:r>
            <w:r>
              <w:rPr>
                <w:rFonts w:hint="eastAsia" w:ascii="宋体" w:hAnsi="宋体" w:cs="宋体"/>
                <w:color w:val="auto"/>
                <w:kern w:val="0"/>
                <w:szCs w:val="21"/>
              </w:rPr>
              <w:br w:type="textWrapping"/>
            </w:r>
            <w:r>
              <w:rPr>
                <w:rFonts w:hint="eastAsia" w:ascii="宋体" w:hAnsi="宋体" w:cs="宋体"/>
                <w:color w:val="auto"/>
                <w:kern w:val="0"/>
                <w:szCs w:val="21"/>
              </w:rPr>
              <w:t>（6）、符合WEBGL的场景氛围特效；</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3、UI设计：根据策划方案，分解UI界面设计、页面布局等；</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4、功能开发：根据策划方案，采用WEBGL、AI语音技术，实现功能开发、三维场景、动画资源等数字内容集成；</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9000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5、功能测试及验证：根据策划方案，进行集成测试与系统测试，功能、性能及硬件环境测试。</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旋耕机</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旋耕机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1、3D模型展示，可进行旋转，缩放，展示其外观；</w:t>
            </w:r>
            <w:r>
              <w:rPr>
                <w:rFonts w:hint="eastAsia" w:ascii="宋体" w:hAnsi="宋体" w:cs="宋体"/>
                <w:color w:val="auto"/>
                <w:kern w:val="0"/>
                <w:szCs w:val="21"/>
              </w:rPr>
              <w:br w:type="textWrapping"/>
            </w:r>
            <w:r>
              <w:rPr>
                <w:rFonts w:hint="eastAsia" w:ascii="宋体" w:hAnsi="宋体" w:cs="宋体"/>
                <w:color w:val="auto"/>
                <w:kern w:val="0"/>
                <w:szCs w:val="21"/>
              </w:rPr>
              <w:t>2、符合PBR材质制作的UV展开；</w:t>
            </w:r>
            <w:r>
              <w:rPr>
                <w:rFonts w:hint="eastAsia" w:ascii="宋体" w:hAnsi="宋体" w:cs="宋体"/>
                <w:color w:val="auto"/>
                <w:kern w:val="0"/>
                <w:szCs w:val="21"/>
              </w:rPr>
              <w:br w:type="textWrapping"/>
            </w:r>
            <w:r>
              <w:rPr>
                <w:rFonts w:hint="eastAsia" w:ascii="宋体" w:hAnsi="宋体" w:cs="宋体"/>
                <w:color w:val="auto"/>
                <w:kern w:val="0"/>
                <w:szCs w:val="21"/>
              </w:rPr>
              <w:t>3、符合WEBGL及移动平台的材质规格及模型面数；</w:t>
            </w:r>
            <w:r>
              <w:rPr>
                <w:rFonts w:hint="eastAsia" w:ascii="宋体" w:hAnsi="宋体" w:cs="宋体"/>
                <w:color w:val="auto"/>
                <w:kern w:val="0"/>
                <w:szCs w:val="21"/>
              </w:rPr>
              <w:br w:type="textWrapping"/>
            </w:r>
            <w:r>
              <w:rPr>
                <w:rFonts w:hint="eastAsia" w:ascii="宋体" w:hAnsi="宋体" w:cs="宋体"/>
                <w:color w:val="auto"/>
                <w:kern w:val="0"/>
                <w:szCs w:val="21"/>
              </w:rPr>
              <w:t>4、Substance Painter制作PBR材质；</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15000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5、3D动画展示，主要展示工作原理；</w:t>
            </w:r>
            <w:r>
              <w:rPr>
                <w:rFonts w:hint="eastAsia" w:ascii="宋体" w:hAnsi="宋体" w:cs="宋体"/>
                <w:color w:val="auto"/>
                <w:kern w:val="0"/>
                <w:szCs w:val="21"/>
              </w:rPr>
              <w:br w:type="textWrapping"/>
            </w:r>
            <w:r>
              <w:rPr>
                <w:rFonts w:hint="eastAsia" w:ascii="宋体" w:hAnsi="宋体" w:cs="宋体"/>
                <w:color w:val="auto"/>
                <w:kern w:val="0"/>
                <w:szCs w:val="21"/>
              </w:rPr>
              <w:t>6、符合WEBGL动画结构展示；</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7、文字介绍：旋耕机是与拖拉机配套完成耕、耙作业的耕耘机械。因其具有碎土能力强、耕后地表平坦等特点，而得到了广泛的应用；同时能够切碎埋在地表以下的根茬，便于播种机作业，为后期播种提供良好种床。按其旋耕刀轴的配置方式分为横轴式，立轴式和斜置式三类。正确使用和调整旋耕机，对保持其良好技术状态，确保耕作质量是很重要的。旋耕机具有打破犁底层、恢复土壤耕层结构、提高土壤蓄水保墒能力、消灭部分杂草、减少病虫害、平整地表以及提高农业机械化作业标准等作用。</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8、视频集成；</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9、AI语音播报内容为该产品的文字功能介绍。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烘干机</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烘干机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1、3D模型展示，可进行旋转，缩放，展示其外观；</w:t>
            </w:r>
            <w:r>
              <w:rPr>
                <w:rFonts w:hint="eastAsia" w:ascii="宋体" w:hAnsi="宋体" w:cs="宋体"/>
                <w:color w:val="auto"/>
                <w:kern w:val="0"/>
                <w:szCs w:val="21"/>
              </w:rPr>
              <w:br w:type="textWrapping"/>
            </w:r>
            <w:r>
              <w:rPr>
                <w:rFonts w:hint="eastAsia" w:ascii="宋体" w:hAnsi="宋体" w:cs="宋体"/>
                <w:color w:val="auto"/>
                <w:kern w:val="0"/>
                <w:szCs w:val="21"/>
              </w:rPr>
              <w:t>2、符合PBR材质制作的UV展开；</w:t>
            </w:r>
            <w:r>
              <w:rPr>
                <w:rFonts w:hint="eastAsia" w:ascii="宋体" w:hAnsi="宋体" w:cs="宋体"/>
                <w:color w:val="auto"/>
                <w:kern w:val="0"/>
                <w:szCs w:val="21"/>
              </w:rPr>
              <w:br w:type="textWrapping"/>
            </w:r>
            <w:r>
              <w:rPr>
                <w:rFonts w:hint="eastAsia" w:ascii="宋体" w:hAnsi="宋体" w:cs="宋体"/>
                <w:color w:val="auto"/>
                <w:kern w:val="0"/>
                <w:szCs w:val="21"/>
              </w:rPr>
              <w:t>3、符合WEBGL及移动平台的材质规格及模型面数；</w:t>
            </w:r>
            <w:r>
              <w:rPr>
                <w:rFonts w:hint="eastAsia" w:ascii="宋体" w:hAnsi="宋体" w:cs="宋体"/>
                <w:color w:val="auto"/>
                <w:kern w:val="0"/>
                <w:szCs w:val="21"/>
              </w:rPr>
              <w:br w:type="textWrapping"/>
            </w:r>
            <w:r>
              <w:rPr>
                <w:rFonts w:hint="eastAsia" w:ascii="宋体" w:hAnsi="宋体" w:cs="宋体"/>
                <w:color w:val="auto"/>
                <w:kern w:val="0"/>
                <w:szCs w:val="21"/>
              </w:rPr>
              <w:t>4、Substance Painter制作PBR材质；</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15000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5、3D动画展示，主要展示工作原理；</w:t>
            </w:r>
            <w:r>
              <w:rPr>
                <w:rFonts w:hint="eastAsia" w:ascii="宋体" w:hAnsi="宋体" w:cs="宋体"/>
                <w:color w:val="auto"/>
                <w:kern w:val="0"/>
                <w:szCs w:val="21"/>
              </w:rPr>
              <w:br w:type="textWrapping"/>
            </w:r>
            <w:r>
              <w:rPr>
                <w:rFonts w:hint="eastAsia" w:ascii="宋体" w:hAnsi="宋体" w:cs="宋体"/>
                <w:color w:val="auto"/>
                <w:kern w:val="0"/>
                <w:szCs w:val="21"/>
              </w:rPr>
              <w:t>6、符合WEBGL动画结构展示；</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7、文字介绍：农业烘干机是传统干燥设备之一，设备运转可靠，操作弹性大、 适应性强、处理能力大，广泛应用于粮食、食品、沙、糖等领域。</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8、视频集成；</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9、AI语音播报内容为该产品的文字功能介绍。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插秧机</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插秧机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1、3D模型展示，可进行旋转，缩放，展示其外观；</w:t>
            </w:r>
            <w:r>
              <w:rPr>
                <w:rFonts w:hint="eastAsia" w:ascii="宋体" w:hAnsi="宋体" w:cs="宋体"/>
                <w:color w:val="auto"/>
                <w:kern w:val="0"/>
                <w:szCs w:val="21"/>
              </w:rPr>
              <w:br w:type="textWrapping"/>
            </w:r>
            <w:r>
              <w:rPr>
                <w:rFonts w:hint="eastAsia" w:ascii="宋体" w:hAnsi="宋体" w:cs="宋体"/>
                <w:color w:val="auto"/>
                <w:kern w:val="0"/>
                <w:szCs w:val="21"/>
              </w:rPr>
              <w:t>2、符合PBR材质制作的UV展开；</w:t>
            </w:r>
            <w:r>
              <w:rPr>
                <w:rFonts w:hint="eastAsia" w:ascii="宋体" w:hAnsi="宋体" w:cs="宋体"/>
                <w:color w:val="auto"/>
                <w:kern w:val="0"/>
                <w:szCs w:val="21"/>
              </w:rPr>
              <w:br w:type="textWrapping"/>
            </w:r>
            <w:r>
              <w:rPr>
                <w:rFonts w:hint="eastAsia" w:ascii="宋体" w:hAnsi="宋体" w:cs="宋体"/>
                <w:color w:val="auto"/>
                <w:kern w:val="0"/>
                <w:szCs w:val="21"/>
              </w:rPr>
              <w:t>3、符合WEBGL及移动平台的材质规格及模型面数；</w:t>
            </w:r>
            <w:r>
              <w:rPr>
                <w:rFonts w:hint="eastAsia" w:ascii="宋体" w:hAnsi="宋体" w:cs="宋体"/>
                <w:color w:val="auto"/>
                <w:kern w:val="0"/>
                <w:szCs w:val="21"/>
              </w:rPr>
              <w:br w:type="textWrapping"/>
            </w:r>
            <w:r>
              <w:rPr>
                <w:rFonts w:hint="eastAsia" w:ascii="宋体" w:hAnsi="宋体" w:cs="宋体"/>
                <w:color w:val="auto"/>
                <w:kern w:val="0"/>
                <w:szCs w:val="21"/>
              </w:rPr>
              <w:t>4、Substance Painter制作PBR材质；</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15000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5、3D动画展示，主要展示工作原理；</w:t>
            </w:r>
            <w:r>
              <w:rPr>
                <w:rFonts w:hint="eastAsia" w:ascii="宋体" w:hAnsi="宋体" w:cs="宋体"/>
                <w:color w:val="auto"/>
                <w:kern w:val="0"/>
                <w:szCs w:val="21"/>
              </w:rPr>
              <w:br w:type="textWrapping"/>
            </w:r>
            <w:r>
              <w:rPr>
                <w:rFonts w:hint="eastAsia" w:ascii="宋体" w:hAnsi="宋体" w:cs="宋体"/>
                <w:color w:val="auto"/>
                <w:kern w:val="0"/>
                <w:szCs w:val="21"/>
              </w:rPr>
              <w:t>6、符合WEBGL动画结构展示；</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插秧机是将稻苗植入稻田中的一种农业机械。进行种植时，首先以机械爪从苗床中取出数株稻苗植入田中的泥土，为了保持对苗床与地面的角度为直角，机械爪的前端移动时必须采取椭圆形的动作曲线。动作是靠着旋转式或变形齿轮的行星机构来完成，前进的引擎同时可以带动这些动作机械。插秧机在泥土上行进必须有止滑的车轮及浮行设计。插苗若是成片，则是从特定的秧苗箱中取出稻苗，再以机械方式种植。</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2、3D模型展示，可进行旋转，缩放，展示其外观，内部结构以及工作原理；</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3、AI语音播报内容为该产品的文字功能介绍。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水稻收割机</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水稻收割机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1、3D模型展示，可进行旋转，缩放，展示其外观；</w:t>
            </w:r>
            <w:r>
              <w:rPr>
                <w:rFonts w:hint="eastAsia" w:ascii="宋体" w:hAnsi="宋体" w:cs="宋体"/>
                <w:color w:val="auto"/>
                <w:kern w:val="0"/>
                <w:szCs w:val="21"/>
              </w:rPr>
              <w:br w:type="textWrapping"/>
            </w:r>
            <w:r>
              <w:rPr>
                <w:rFonts w:hint="eastAsia" w:ascii="宋体" w:hAnsi="宋体" w:cs="宋体"/>
                <w:color w:val="auto"/>
                <w:kern w:val="0"/>
                <w:szCs w:val="21"/>
              </w:rPr>
              <w:t>2、符合PBR材质制作的UV展开；</w:t>
            </w:r>
            <w:r>
              <w:rPr>
                <w:rFonts w:hint="eastAsia" w:ascii="宋体" w:hAnsi="宋体" w:cs="宋体"/>
                <w:color w:val="auto"/>
                <w:kern w:val="0"/>
                <w:szCs w:val="21"/>
              </w:rPr>
              <w:br w:type="textWrapping"/>
            </w:r>
            <w:r>
              <w:rPr>
                <w:rFonts w:hint="eastAsia" w:ascii="宋体" w:hAnsi="宋体" w:cs="宋体"/>
                <w:color w:val="auto"/>
                <w:kern w:val="0"/>
                <w:szCs w:val="21"/>
              </w:rPr>
              <w:t>3、符合WEBGL及移动平台的材质规格及模型面数；</w:t>
            </w:r>
            <w:r>
              <w:rPr>
                <w:rFonts w:hint="eastAsia" w:ascii="宋体" w:hAnsi="宋体" w:cs="宋体"/>
                <w:color w:val="auto"/>
                <w:kern w:val="0"/>
                <w:szCs w:val="21"/>
              </w:rPr>
              <w:br w:type="textWrapping"/>
            </w:r>
            <w:r>
              <w:rPr>
                <w:rFonts w:hint="eastAsia" w:ascii="宋体" w:hAnsi="宋体" w:cs="宋体"/>
                <w:color w:val="auto"/>
                <w:kern w:val="0"/>
                <w:szCs w:val="21"/>
              </w:rPr>
              <w:t>4、Substance Painter制作PBR材质；</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15000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5、3D动画展示，主要展示工作原理；</w:t>
            </w:r>
            <w:r>
              <w:rPr>
                <w:rFonts w:hint="eastAsia" w:ascii="宋体" w:hAnsi="宋体" w:cs="宋体"/>
                <w:color w:val="auto"/>
                <w:kern w:val="0"/>
                <w:szCs w:val="21"/>
              </w:rPr>
              <w:br w:type="textWrapping"/>
            </w:r>
            <w:r>
              <w:rPr>
                <w:rFonts w:hint="eastAsia" w:ascii="宋体" w:hAnsi="宋体" w:cs="宋体"/>
                <w:color w:val="auto"/>
                <w:kern w:val="0"/>
                <w:szCs w:val="21"/>
              </w:rPr>
              <w:t>6、符合WEBGL动画结构展示；</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按结构可分为履带式水稻收割机、手扶式水稻收割机、小型水稻收割机。履带式水稻收割机适用于地块大的地区；小型水稻收割机具有重量轻、动力强劲、操作舒适、劳动强度低、收割干净等特点，适用于平原、丘陵、梯田、三角地等小田块。</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2、3D模型展示，可进行旋转，缩放，展示其外观，内部结构以及工作原理；</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3、AI语音播报内容为该产品的文字功能介绍。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植保无人机</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植保无人机</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1、3D模型展示，可进行旋转，缩放，展示其外观；</w:t>
            </w:r>
            <w:r>
              <w:rPr>
                <w:rFonts w:hint="eastAsia" w:ascii="宋体" w:hAnsi="宋体" w:cs="宋体"/>
                <w:color w:val="auto"/>
                <w:kern w:val="0"/>
                <w:szCs w:val="21"/>
              </w:rPr>
              <w:br w:type="textWrapping"/>
            </w:r>
            <w:r>
              <w:rPr>
                <w:rFonts w:hint="eastAsia" w:ascii="宋体" w:hAnsi="宋体" w:cs="宋体"/>
                <w:color w:val="auto"/>
                <w:kern w:val="0"/>
                <w:szCs w:val="21"/>
              </w:rPr>
              <w:t>2、符合PBR材质制作的UV展开；</w:t>
            </w:r>
            <w:r>
              <w:rPr>
                <w:rFonts w:hint="eastAsia" w:ascii="宋体" w:hAnsi="宋体" w:cs="宋体"/>
                <w:color w:val="auto"/>
                <w:kern w:val="0"/>
                <w:szCs w:val="21"/>
              </w:rPr>
              <w:br w:type="textWrapping"/>
            </w:r>
            <w:r>
              <w:rPr>
                <w:rFonts w:hint="eastAsia" w:ascii="宋体" w:hAnsi="宋体" w:cs="宋体"/>
                <w:color w:val="auto"/>
                <w:kern w:val="0"/>
                <w:szCs w:val="21"/>
              </w:rPr>
              <w:t>3、符合WEBGL及移动平台的材质规格及模型面数；</w:t>
            </w:r>
            <w:r>
              <w:rPr>
                <w:rFonts w:hint="eastAsia" w:ascii="宋体" w:hAnsi="宋体" w:cs="宋体"/>
                <w:color w:val="auto"/>
                <w:kern w:val="0"/>
                <w:szCs w:val="21"/>
              </w:rPr>
              <w:br w:type="textWrapping"/>
            </w:r>
            <w:r>
              <w:rPr>
                <w:rFonts w:hint="eastAsia" w:ascii="宋体" w:hAnsi="宋体" w:cs="宋体"/>
                <w:color w:val="auto"/>
                <w:kern w:val="0"/>
                <w:szCs w:val="21"/>
              </w:rPr>
              <w:t>4、Substance Painter制作PBR材质；</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15000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5、3D动画展示，主要展示工作原理；</w:t>
            </w:r>
            <w:r>
              <w:rPr>
                <w:rFonts w:hint="eastAsia" w:ascii="宋体" w:hAnsi="宋体" w:cs="宋体"/>
                <w:color w:val="auto"/>
                <w:kern w:val="0"/>
                <w:szCs w:val="21"/>
              </w:rPr>
              <w:br w:type="textWrapping"/>
            </w:r>
            <w:r>
              <w:rPr>
                <w:rFonts w:hint="eastAsia" w:ascii="宋体" w:hAnsi="宋体" w:cs="宋体"/>
                <w:color w:val="auto"/>
                <w:kern w:val="0"/>
                <w:szCs w:val="21"/>
              </w:rPr>
              <w:t>6、符合WEBGL动画结构展示；</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1、文字介绍：农业植保无人机主要广泛用于农业方面，其过程是通过地面遥控或GPS飞控，来实现喷洒作业，可以喷洒药剂、种子、粉剂等操作流程的。</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2、3D模型展示，可进行旋转，缩放，展示其外观，内部结构以及工作原理；</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3、AI语音播报内容为该产品的文字功能介绍。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859"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企业馆</w:t>
            </w:r>
          </w:p>
        </w:tc>
        <w:tc>
          <w:tcPr>
            <w:tcW w:w="175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农村行业企业馆以3D虚拟场景为载体，采用WebGL技术手段，结合AI语音技术、图文、视频、动画、3D的方式，主要展示行业产业发展现状，介绍产业链的企业分布情况、核心企业发展背景、核心技术等方面内容。主要从农机产业园区、农机企业两大方面进行介绍。</w:t>
            </w: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3D场景</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3D场景设计、制作及功能开发</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1、3D场景设计及功能策划：设计以符合农机行业特色的3D场景，以游戏背包系统为功能进行策划。详细输出交互设计、趣味性体验方案；</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8000</w:t>
            </w:r>
          </w:p>
        </w:tc>
        <w:tc>
          <w:tcPr>
            <w:tcW w:w="75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30000</w:t>
            </w:r>
          </w:p>
        </w:tc>
        <w:tc>
          <w:tcPr>
            <w:tcW w:w="855"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70000</w:t>
            </w:r>
          </w:p>
        </w:tc>
        <w:tc>
          <w:tcPr>
            <w:tcW w:w="810" w:type="dxa"/>
            <w:noWrap w:val="0"/>
            <w:vAlign w:val="center"/>
          </w:tcPr>
          <w:p>
            <w:pPr>
              <w:widowControl/>
              <w:jc w:val="center"/>
              <w:rPr>
                <w:rFonts w:hint="eastAsia" w:ascii="宋体" w:hAnsi="宋体" w:cs="宋体"/>
                <w:color w:val="auto"/>
                <w:kern w:val="0"/>
                <w:szCs w:val="21"/>
              </w:rPr>
            </w:pPr>
          </w:p>
        </w:tc>
        <w:tc>
          <w:tcPr>
            <w:tcW w:w="645" w:type="dxa"/>
            <w:noWrap w:val="0"/>
            <w:vAlign w:val="center"/>
          </w:tcPr>
          <w:p>
            <w:pPr>
              <w:widowControl/>
              <w:jc w:val="center"/>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2、3D模型制作：</w:t>
            </w:r>
            <w:r>
              <w:rPr>
                <w:rFonts w:hint="eastAsia" w:ascii="宋体" w:hAnsi="宋体" w:cs="宋体"/>
                <w:color w:val="auto"/>
                <w:kern w:val="0"/>
                <w:szCs w:val="21"/>
              </w:rPr>
              <w:br w:type="textWrapping"/>
            </w:r>
            <w:r>
              <w:rPr>
                <w:rFonts w:hint="eastAsia" w:ascii="宋体" w:hAnsi="宋体" w:cs="宋体"/>
                <w:color w:val="auto"/>
                <w:kern w:val="0"/>
                <w:szCs w:val="21"/>
              </w:rPr>
              <w:t>（1）以3D场景设计思路，采用3D建模、高模烘焙低模技术；</w:t>
            </w:r>
            <w:r>
              <w:rPr>
                <w:rFonts w:hint="eastAsia" w:ascii="宋体" w:hAnsi="宋体" w:cs="宋体"/>
                <w:color w:val="auto"/>
                <w:kern w:val="0"/>
                <w:szCs w:val="21"/>
              </w:rPr>
              <w:br w:type="textWrapping"/>
            </w:r>
            <w:r>
              <w:rPr>
                <w:rFonts w:hint="eastAsia" w:ascii="宋体" w:hAnsi="宋体" w:cs="宋体"/>
                <w:color w:val="auto"/>
                <w:kern w:val="0"/>
                <w:szCs w:val="21"/>
              </w:rPr>
              <w:t>（2）符合PBR材质制作的UV展开；</w:t>
            </w:r>
            <w:r>
              <w:rPr>
                <w:rFonts w:hint="eastAsia" w:ascii="宋体" w:hAnsi="宋体" w:cs="宋体"/>
                <w:color w:val="auto"/>
                <w:kern w:val="0"/>
                <w:szCs w:val="21"/>
              </w:rPr>
              <w:br w:type="textWrapping"/>
            </w:r>
            <w:r>
              <w:rPr>
                <w:rFonts w:hint="eastAsia" w:ascii="宋体" w:hAnsi="宋体" w:cs="宋体"/>
                <w:color w:val="auto"/>
                <w:kern w:val="0"/>
                <w:szCs w:val="21"/>
              </w:rPr>
              <w:t>（3）符合WEBGL及移动平台的材质规格及模型面数；</w:t>
            </w:r>
            <w:r>
              <w:rPr>
                <w:rFonts w:hint="eastAsia" w:ascii="宋体" w:hAnsi="宋体" w:cs="宋体"/>
                <w:color w:val="auto"/>
                <w:kern w:val="0"/>
                <w:szCs w:val="21"/>
              </w:rPr>
              <w:br w:type="textWrapping"/>
            </w:r>
            <w:r>
              <w:rPr>
                <w:rFonts w:hint="eastAsia" w:ascii="宋体" w:hAnsi="宋体" w:cs="宋体"/>
                <w:color w:val="auto"/>
                <w:kern w:val="0"/>
                <w:szCs w:val="21"/>
              </w:rPr>
              <w:t>（4）Substance Painter制作PBR材质；</w:t>
            </w:r>
            <w:r>
              <w:rPr>
                <w:rFonts w:hint="eastAsia" w:ascii="宋体" w:hAnsi="宋体" w:cs="宋体"/>
                <w:color w:val="auto"/>
                <w:kern w:val="0"/>
                <w:szCs w:val="21"/>
              </w:rPr>
              <w:br w:type="textWrapping"/>
            </w:r>
            <w:r>
              <w:rPr>
                <w:rFonts w:hint="eastAsia" w:ascii="宋体" w:hAnsi="宋体" w:cs="宋体"/>
                <w:color w:val="auto"/>
                <w:kern w:val="0"/>
                <w:szCs w:val="21"/>
              </w:rPr>
              <w:t>（5）在UNITY引擎中使用URP渲染管线烘焙光照后以WEBGL输出展示版本；</w:t>
            </w:r>
            <w:r>
              <w:rPr>
                <w:rFonts w:hint="eastAsia" w:ascii="宋体" w:hAnsi="宋体" w:cs="宋体"/>
                <w:color w:val="auto"/>
                <w:kern w:val="0"/>
                <w:szCs w:val="21"/>
              </w:rPr>
              <w:br w:type="textWrapping"/>
            </w:r>
            <w:r>
              <w:rPr>
                <w:rFonts w:hint="eastAsia" w:ascii="宋体" w:hAnsi="宋体" w:cs="宋体"/>
                <w:color w:val="auto"/>
                <w:kern w:val="0"/>
                <w:szCs w:val="21"/>
              </w:rPr>
              <w:t>（6）符合WEBGL的场景氛围特效；</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8000</w:t>
            </w:r>
          </w:p>
        </w:tc>
        <w:tc>
          <w:tcPr>
            <w:tcW w:w="75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3、UI设计：根据策划方案，分解UI界面设计、页面布局等；</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3000</w:t>
            </w:r>
          </w:p>
        </w:tc>
        <w:tc>
          <w:tcPr>
            <w:tcW w:w="75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4、功能开发：根据策划方案，采用WEBGL、AI语音技术，实现功能开发、三维场景、动画资源等数字内容集成；</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9000</w:t>
            </w:r>
          </w:p>
        </w:tc>
        <w:tc>
          <w:tcPr>
            <w:tcW w:w="75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5、功能测试及验证：根据策划方案，进行集成测试与系统测试，功能、性能及硬件环境测试。</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2000</w:t>
            </w:r>
          </w:p>
        </w:tc>
        <w:tc>
          <w:tcPr>
            <w:tcW w:w="75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农机产业园</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双峰农机小镇</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双峰农机小镇于2019年4月被列入湖南省首批12个示范型特色小镇之一。科学布局生产、生活、生态空间，力求将双峰打造成为农机生产示范基地、全国农机集散基地、全国农机交易中心、全国农机文化体验中心、全国农机特色产业第一城。农机型号有水田耕整机、水稻联合收割机、自动化插秧机、植保无人机等60多个品种300多种型号，产品远销国外20多个国家。</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批</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2、视频介绍：企业宣传片</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3、产业园区内包含的代表性企业的内容介绍，以湖南劲松机械有限公司为例；</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湖南农机产业园</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湖南农机产业园位于湖南湘潭作为长沙城东组团的延伸部分，将运用信息网络中心和现代制造服务业链的一体化建设，实现现代制造服务业和知识密集型服务业的紧密配合，湖南农机产业园规划拟将农机产业园建成五大基地：现代化农机信息服务和技术交流基地、农业机械交易与成套服务基地、农业机械展示和会展服务基地、新型人才培训和交流基地、农业机械产品延伸服务基地</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批</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2、视频介绍：企业宣传片</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3、产业园区内包含的代表性企业的内容介绍，以中联重科股份有限公司为例；</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重庆万州国家农业公园</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万州国家农业公园是重庆市创建的首个国家农业公园，是万州乡村振兴的先行区、现代农业的示范区、农旅融合的创新区、美丽乡村的样板区。园区投入坚持“政府引导，市场主导”的原则，拟通过培育“农业＋”的新业态、新模式，打造可示范、可复制、可引领的“农旅融合”田园综合体。园区以交通为重点的公共基础设施明显改善，“两纵六横”骨干交通路网逐渐成型，三峡山地特色农业科技创新中心、何其芳故居建成投入使用；同时成功创建“国家农村产业融合发展示范园”、“国家现代农业产业园”、“市级玫瑰香橙科技园”、中国特色农产品万州玫瑰香橙优势区、市级乡村振兴综合实验示范区。</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批</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2、视频介绍：企业宣传片</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3、产业园区内包含的代表性企业的内容介绍，以重庆田坡机制制造有限公司为例；</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湖北京山农机装备制造产业园</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京山农机装备产业园由中机十院规划设计，功能布局为“一基地五中心”，即农机装备制造基地、检测鉴定中心、商务信息中心、仓储物流中心、产学研孵化展示中心、智慧农业与三产融合中心，是中国南方最大的农机装备产业园。主要引进高效能收割机械、耕整地机械、精密植保机械、谷物烘干设备等11类制造项目。现已入驻三雷重工、超能农机装备、海格力斯工程机械三家整机龙头企业，三雷万顺、卓冠、晨瑞等农机配套企业。</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批</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2、视频介绍：企业宣传片</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3、产业园区内包含的代表性企业的内容介绍，以超能农机装备为例；</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四川现代农机产业园</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四川首个农机产业园。立足四川、面向西部、辐射全国，打造国内一流的现代化、规模化、功能化、集约化的区域性大型农机产业园区。以龙头企业带动产业发展为主线。以区内川龙、华龙公司整体搬迁入驻为基础，抓好基础设施配套建设，完善入驻条件，整合川内资源，制定优惠政策，招大引强，吸引相关企业和新建企业入驻形成聚集效应，承接东部产业转移，以部省农机项目的实施来推动园区建设。 总体规划按照“一个基地、七个中心”布局，体现园区“功能完善、集约发展、分区布局”特点。“一个基地、七个中心”即：农机产品制造基地，研发与科技成果转化中心、产品实验鉴定中心、售后服务与区域维修中心、农机实用技术培训中心、物流中心、展销中心、商务中心。</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批</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2、视频介绍：企业宣传片</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3、产业园区内包含的代表性企业的内容介绍，以四川川农业装备公司为例；</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农机企业</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耕整地机械类</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企业内容介绍：北京华采世纪经贸有限公司、常州汉森机械股份有限公司、重庆汇田机械制造有限公司、山东奥龙农业机械制造有限公司、郑州市龙丰农业机械装备制造有限公司、重庆箭驰机械有限公司、义乌园友机械设备有限公司、雷肯农业机械（青岛）有限公司</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批</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2、以企业主打产品的图片为内容，进行产品展示，图片格式jpg/png。</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3、视频介绍：企业宣传片</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动力机械类</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1、企业内容介绍：中国一拖集团有限公司、山东亿嘉农业机械装备股份有限公司、天津拖拉机制造有限公司、南宁市桂发农机制造有限公司、江苏常发农业装备股份有限公司、富锦龙江拖拉机有限责任公司</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批</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2、以企业主打产品的图片为内容，进行产品展示，图片格式jpg/png。</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3、视频介绍：企业宣传片</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植保机械类</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企业内容介绍：苏州极目机器人科技有限公司、杭州启飞智能科技有限公司、深圳梦之鹰科技有限公司、河南蜂鸟智造无人机科技有限公司、翼飞智能科技（武汉）有限公司、青岛世天创新航空科技有限公司、青岛中飞创新科技有限公司、深圳市艾克斯瑞科技有限公司</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批</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2、以企业主打产品的图片为内容，进行产品展示，图片格式jpg/png。</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3、视频介绍：企业宣传片</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农产品收获机械类</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企业内容介绍：海南地润农畜机械设备有限公司、吉林天朗新能源科技有限公司、科乐收农业机械贸易（北京）有限责任公司、内蒙古瑞丰农牧业装备股份有限公司、瑞齐曼（天津）科技有限公司、勇猛机械股份有限公司、吉林省四平东风联合收割机有限公司</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批</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2、以企业主打产品的图片为内容，进行产品展示，图片格式jpg/png。</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3、视频介绍：企业宣传片</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农产品加工机械</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企业内容介绍：石家庄三立谷物机械股份有限公司、河北聚力特分选技术有限公司、黑龙江省军垦粮食清选机械厂、酒泉奥凯种子机械股份有限公司、临沂市河东区大华机械、济南金沃楼宇设备有限公司、安徽丹泰仕机电设备有限公司、常州市武进双湖粮油机械股份有限公司</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批</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2、以企业主打产品的图片为内容，进行产品展示，图片格式jpg/png。</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3、视频介绍：企业宣传片</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859"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文化馆</w:t>
            </w:r>
          </w:p>
        </w:tc>
        <w:tc>
          <w:tcPr>
            <w:tcW w:w="1757" w:type="dxa"/>
            <w:vMerge w:val="restart"/>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农机文化馆以3D虚拟场景为载体，采用WebGL技术手段，结合AI语音技术、图文、视频的方式，展示本行业的名师名匠、故事事件、职业精神等主题，让用户认识理解行业内涵、行业特色和成长路径，描绘各个岗位工作前景，为学生职业规划提供参考。主要从农机工匠、耕读文化、展会交流、电子绘本教材四个方面建设。</w:t>
            </w: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3D场景</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3D场景设计、制作及功能开发</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1、3D场景设计及功能策划：设计以符合农机行业特色的3D场景，以文化广场，融入党建元素为功能进行策划。详细输出交互设计、趣味性体验方案；</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8000</w:t>
            </w:r>
          </w:p>
        </w:tc>
        <w:tc>
          <w:tcPr>
            <w:tcW w:w="75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30000</w:t>
            </w:r>
          </w:p>
        </w:tc>
        <w:tc>
          <w:tcPr>
            <w:tcW w:w="855"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72000</w:t>
            </w:r>
          </w:p>
        </w:tc>
        <w:tc>
          <w:tcPr>
            <w:tcW w:w="810" w:type="dxa"/>
            <w:noWrap w:val="0"/>
            <w:vAlign w:val="center"/>
          </w:tcPr>
          <w:p>
            <w:pPr>
              <w:widowControl/>
              <w:jc w:val="center"/>
              <w:rPr>
                <w:rFonts w:hint="eastAsia" w:ascii="宋体" w:hAnsi="宋体" w:cs="宋体"/>
                <w:color w:val="auto"/>
                <w:kern w:val="0"/>
                <w:szCs w:val="21"/>
              </w:rPr>
            </w:pPr>
          </w:p>
        </w:tc>
        <w:tc>
          <w:tcPr>
            <w:tcW w:w="645" w:type="dxa"/>
            <w:noWrap w:val="0"/>
            <w:vAlign w:val="center"/>
          </w:tcPr>
          <w:p>
            <w:pPr>
              <w:widowControl/>
              <w:jc w:val="center"/>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2、3D模型制作：</w:t>
            </w:r>
            <w:r>
              <w:rPr>
                <w:rFonts w:hint="eastAsia" w:ascii="宋体" w:hAnsi="宋体" w:cs="宋体"/>
                <w:color w:val="auto"/>
                <w:kern w:val="0"/>
                <w:szCs w:val="21"/>
              </w:rPr>
              <w:br w:type="textWrapping"/>
            </w:r>
            <w:r>
              <w:rPr>
                <w:rFonts w:hint="eastAsia" w:ascii="宋体" w:hAnsi="宋体" w:cs="宋体"/>
                <w:color w:val="auto"/>
                <w:kern w:val="0"/>
                <w:szCs w:val="21"/>
              </w:rPr>
              <w:t>（1）以3D场景设计思路，采用3D建模、高模烘焙低模技术；</w:t>
            </w:r>
            <w:r>
              <w:rPr>
                <w:rFonts w:hint="eastAsia" w:ascii="宋体" w:hAnsi="宋体" w:cs="宋体"/>
                <w:color w:val="auto"/>
                <w:kern w:val="0"/>
                <w:szCs w:val="21"/>
              </w:rPr>
              <w:br w:type="textWrapping"/>
            </w:r>
            <w:r>
              <w:rPr>
                <w:rFonts w:hint="eastAsia" w:ascii="宋体" w:hAnsi="宋体" w:cs="宋体"/>
                <w:color w:val="auto"/>
                <w:kern w:val="0"/>
                <w:szCs w:val="21"/>
              </w:rPr>
              <w:t>（2）符合PBR材质制作的UV展开；</w:t>
            </w:r>
            <w:r>
              <w:rPr>
                <w:rFonts w:hint="eastAsia" w:ascii="宋体" w:hAnsi="宋体" w:cs="宋体"/>
                <w:color w:val="auto"/>
                <w:kern w:val="0"/>
                <w:szCs w:val="21"/>
              </w:rPr>
              <w:br w:type="textWrapping"/>
            </w:r>
            <w:r>
              <w:rPr>
                <w:rFonts w:hint="eastAsia" w:ascii="宋体" w:hAnsi="宋体" w:cs="宋体"/>
                <w:color w:val="auto"/>
                <w:kern w:val="0"/>
                <w:szCs w:val="21"/>
              </w:rPr>
              <w:t>（3）符合WEBGL及移动平台的材质规格及模型面数；</w:t>
            </w:r>
            <w:r>
              <w:rPr>
                <w:rFonts w:hint="eastAsia" w:ascii="宋体" w:hAnsi="宋体" w:cs="宋体"/>
                <w:color w:val="auto"/>
                <w:kern w:val="0"/>
                <w:szCs w:val="21"/>
              </w:rPr>
              <w:br w:type="textWrapping"/>
            </w:r>
            <w:r>
              <w:rPr>
                <w:rFonts w:hint="eastAsia" w:ascii="宋体" w:hAnsi="宋体" w:cs="宋体"/>
                <w:color w:val="auto"/>
                <w:kern w:val="0"/>
                <w:szCs w:val="21"/>
              </w:rPr>
              <w:t>（4）Substance Painter制作PBR材质；</w:t>
            </w:r>
            <w:r>
              <w:rPr>
                <w:rFonts w:hint="eastAsia" w:ascii="宋体" w:hAnsi="宋体" w:cs="宋体"/>
                <w:color w:val="auto"/>
                <w:kern w:val="0"/>
                <w:szCs w:val="21"/>
              </w:rPr>
              <w:br w:type="textWrapping"/>
            </w:r>
            <w:r>
              <w:rPr>
                <w:rFonts w:hint="eastAsia" w:ascii="宋体" w:hAnsi="宋体" w:cs="宋体"/>
                <w:color w:val="auto"/>
                <w:kern w:val="0"/>
                <w:szCs w:val="21"/>
              </w:rPr>
              <w:t>（5）在UNITY引擎中使用URP渲染管线烘焙光照后以WEBGL输出展示版本；</w:t>
            </w:r>
            <w:r>
              <w:rPr>
                <w:rFonts w:hint="eastAsia" w:ascii="宋体" w:hAnsi="宋体" w:cs="宋体"/>
                <w:color w:val="auto"/>
                <w:kern w:val="0"/>
                <w:szCs w:val="21"/>
              </w:rPr>
              <w:br w:type="textWrapping"/>
            </w:r>
            <w:r>
              <w:rPr>
                <w:rFonts w:hint="eastAsia" w:ascii="宋体" w:hAnsi="宋体" w:cs="宋体"/>
                <w:color w:val="auto"/>
                <w:kern w:val="0"/>
                <w:szCs w:val="21"/>
              </w:rPr>
              <w:t>（6）符合WEBGL的场景氛围特效；</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8000</w:t>
            </w:r>
          </w:p>
        </w:tc>
        <w:tc>
          <w:tcPr>
            <w:tcW w:w="75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3、UI设计：根据策划方案，分解UI界面设计、页面布局等；</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3000</w:t>
            </w:r>
          </w:p>
        </w:tc>
        <w:tc>
          <w:tcPr>
            <w:tcW w:w="75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4、功能开发：根据策划方案，采用WEBGL、AI语音技术，实现功能开发、三维场景、动画资源等数字内容集成；</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9000</w:t>
            </w:r>
          </w:p>
        </w:tc>
        <w:tc>
          <w:tcPr>
            <w:tcW w:w="75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5、功能测试及验证：根据策划方案，进行集成测试与系统测试，功能、性能及硬件环境测试。</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2000</w:t>
            </w:r>
          </w:p>
        </w:tc>
        <w:tc>
          <w:tcPr>
            <w:tcW w:w="75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农机工匠</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设计大师</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1、图片介绍，以设计大师的人物形象为内容，进行人物宣传，图片尺寸800*800，图片格式jpg/png。</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批</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2、视频介绍：展示相应设计大师的设计内容，集成不少于5个视频；</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工匠大师</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1、图片介绍，以工匠大师的人物形象为内容，进行人物宣传，图片尺寸800*800，图片格式jpg/png。</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批</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2、视频介绍：展示农机工匠打造设备的内容，集成不少于5个视频；</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工匠精神</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1、图片介绍，以工匠精神为内容，弘扬工匠精神为目标，图片尺寸800*800，图片格式jpg/png。</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批</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2、视频介绍：展示具有工匠精神的内容，集成不少于5个视频；</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耕读文化</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名人名言</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1）农业的根本出路在于机械化；（2）适合当地自然条件和经济状况的、受人民欢迎的农业机械化；（3）通过《中华人民共和国农业机械促进法》；（4）要大力推进农业机械化、智能化，给农业现代化插上科教的翅膀；（5）现代农业不是过去的农业，现代农业是个高科技的农业，不是脸朝黄土背朝天，都是机械化、电气化、智能化的农业。集成不少于5个名人名言；</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批</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2、图片介绍，通过图片的形式展示名人名言，图片尺寸800*800，图片格式jpg/png。</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3、AI语音播报内容为名人名言内容的文字介绍；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名人事迹</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1、文字介绍：曾国藩农耕思想</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批</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2、图片介绍：通过图片的形式展示农机行业具有代表性的名人事迹，图片尺寸800*800，图片格式jpg/png。</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3、视频介绍：曾国藩事迹介绍，集成不少于5个视频；</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4、AI语音播报的内容为曾国藩农耕思想的内容介绍；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古迹寻踪</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1、文字介绍：天工开物、齐名要术、农政全书；</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批</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2、图片介绍，以图片的形式，科普性地介绍《天工开物》、《齐名要术》、《农政全书》三本古籍，图片尺寸800*800，图片格式jpg/png。</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3、视频介绍：曾国藩故居，集成不少于5个视频；</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4、AI语音播报内容为古迹寻踪内容的文字介绍；</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展会交流</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农博会</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1、视频介绍：农博会宣传片，集成不少于5个视频；</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批</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2、AI语音播报的内容为农博会相关内容讲解；</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湘博会</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1、视频介绍：湘博会宣传片，集成不少于5个视频；</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批</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2、AI语音播报的内容为湘博会相关内容讲解；</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神话故事</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神农氏——炎帝</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1、3D模型展示，采用3D建模、高模烘焙低模技术；</w:t>
            </w:r>
            <w:r>
              <w:rPr>
                <w:rFonts w:hint="eastAsia" w:ascii="宋体" w:hAnsi="宋体" w:cs="宋体"/>
                <w:color w:val="auto"/>
                <w:kern w:val="0"/>
                <w:szCs w:val="21"/>
              </w:rPr>
              <w:br w:type="textWrapping"/>
            </w:r>
            <w:r>
              <w:rPr>
                <w:rFonts w:hint="eastAsia" w:ascii="宋体" w:hAnsi="宋体" w:cs="宋体"/>
                <w:color w:val="auto"/>
                <w:kern w:val="0"/>
                <w:szCs w:val="21"/>
              </w:rPr>
              <w:t>2、符合PBR材质制作的UV展开；</w:t>
            </w:r>
            <w:r>
              <w:rPr>
                <w:rFonts w:hint="eastAsia" w:ascii="宋体" w:hAnsi="宋体" w:cs="宋体"/>
                <w:color w:val="auto"/>
                <w:kern w:val="0"/>
                <w:szCs w:val="21"/>
              </w:rPr>
              <w:br w:type="textWrapping"/>
            </w:r>
            <w:r>
              <w:rPr>
                <w:rFonts w:hint="eastAsia" w:ascii="宋体" w:hAnsi="宋体" w:cs="宋体"/>
                <w:color w:val="auto"/>
                <w:kern w:val="0"/>
                <w:szCs w:val="21"/>
              </w:rPr>
              <w:t>3、符合WEBGL及移动平台的材质规格及模型面数；</w:t>
            </w:r>
            <w:r>
              <w:rPr>
                <w:rFonts w:hint="eastAsia" w:ascii="宋体" w:hAnsi="宋体" w:cs="宋体"/>
                <w:color w:val="auto"/>
                <w:kern w:val="0"/>
                <w:szCs w:val="21"/>
              </w:rPr>
              <w:br w:type="textWrapping"/>
            </w:r>
            <w:r>
              <w:rPr>
                <w:rFonts w:hint="eastAsia" w:ascii="宋体" w:hAnsi="宋体" w:cs="宋体"/>
                <w:color w:val="auto"/>
                <w:kern w:val="0"/>
                <w:szCs w:val="21"/>
              </w:rPr>
              <w:t>4、Substance Painter制作PBR材质；</w:t>
            </w:r>
          </w:p>
        </w:tc>
        <w:tc>
          <w:tcPr>
            <w:tcW w:w="120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10000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10000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文字介绍：神农氏是中华五氏中最晚出现的，人族三皇之一，因善于用火成为姜族首领亦称为炎帝。如今我们自称为炎黄子孙其中的炎指的就是炎帝的炎。神农氏是奠定中华文明发展基调的一位人皇，自神农氏开始，中华文明开始了从渔猎氏族正式向农耕文明的演化。上古时期通过不断发展人类不断进步，族群不断扩大，单单仅依靠采集和捕猎已经很难满足人们的生活需求了。神农氏通过不断地分析研究，开始尝试播种收获储藏植物的种子，发明刀耕火种，为了提高农作物产量，神农发明耒耜 (lěi sì)助力农耕文明发展，并且神农制造出了饮食用的陶器和炊具。神农为了不断扩大人们口粮的范围，不断尝试，最终为人类留下流传千年的神农五谷比如稻、黍、稷、麦、菽。在不断寻找五谷的过程中，神农尝遍百草，归纳整理百草的各种特性，为中国中医学奠定了基础，开创了中华民族的中医学文化。在尝百草的过程中人皇神农终于由于体内毒素不断累积，倒在为人类不断开拓的路上。</w:t>
            </w:r>
          </w:p>
        </w:tc>
        <w:tc>
          <w:tcPr>
            <w:tcW w:w="1200" w:type="dxa"/>
            <w:vMerge w:val="continue"/>
            <w:noWrap w:val="0"/>
            <w:vAlign w:val="center"/>
          </w:tcPr>
          <w:p>
            <w:pPr>
              <w:widowControl/>
              <w:jc w:val="left"/>
              <w:rPr>
                <w:rFonts w:ascii="宋体" w:hAnsi="宋体" w:cs="宋体"/>
                <w:color w:val="auto"/>
                <w:kern w:val="0"/>
                <w:szCs w:val="21"/>
              </w:rPr>
            </w:pP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6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w:t>
            </w:r>
          </w:p>
        </w:tc>
        <w:tc>
          <w:tcPr>
            <w:tcW w:w="859"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体验馆</w:t>
            </w:r>
          </w:p>
        </w:tc>
        <w:tc>
          <w:tcPr>
            <w:tcW w:w="175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农机体验馆以3D场景为载体，采用WebGL技术，主要通过视频展示、动画表现、虚拟现实、互动实现等技术手段再现行业的典型岗位及典型工作场景，让用户直接虚拟体验工作过程，了解工作流程，提高和激发学习兴趣。主要从农机操作体验进行建设，让职业教育学生了解农机行业全貌与发展前景，做好职业规划，增强职业自信，提升学习动力。支持虚拟交互操作。通过游戏化的方式体验工作场景，主要虚拟体验农机设备操作，让体验者感受真正职业的工作场景、形式、流程等，激发体验者对职业岗位的兴趣，实现对职业选择的引导等。结合数字化赋能劳动教育，以虚拟农场为背景，设计劳动教育智能场景，使学生树立正确的劳动观点和劳动态度，树立学生正确的劳动观点，培养学生热爱劳动和劳动人民的情感。进行劳动教育智能场景应用推广，共享优质劳动教育资源，开展在线劳动教育、成果展示分享。</w:t>
            </w: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插秧机驾驶员</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插秧机驾驶员岗位体验</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1、3D场景设计及游戏功能策划：设计以插秧机工作的户外农田为参考，建设插秧机户外水田的3D场景；</w:t>
            </w:r>
            <w:r>
              <w:rPr>
                <w:rFonts w:hint="eastAsia" w:ascii="宋体" w:hAnsi="宋体" w:cs="宋体"/>
                <w:color w:val="auto"/>
                <w:kern w:val="0"/>
                <w:szCs w:val="21"/>
              </w:rPr>
              <w:br w:type="textWrapping"/>
            </w:r>
            <w:r>
              <w:rPr>
                <w:rFonts w:hint="eastAsia" w:ascii="宋体" w:hAnsi="宋体" w:cs="宋体"/>
                <w:color w:val="auto"/>
                <w:kern w:val="0"/>
                <w:szCs w:val="21"/>
              </w:rPr>
              <w:t>功能策划：以3D场景为载体，用户驾驶插秧机与AI驾驶进行比赛的方式，体验插秧机驾驶员工作时的场景，驾驶插秧机的乐趣，让体验者感受到插秧机时的工作场景、形式、流程等，激发体验者对职业岗位的兴趣。模拟还原插秧机驾驶员工作的过程，详细输出交互设计、趣味性体验方案；</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60000</w:t>
            </w:r>
          </w:p>
        </w:tc>
        <w:tc>
          <w:tcPr>
            <w:tcW w:w="855"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240000</w:t>
            </w:r>
          </w:p>
        </w:tc>
        <w:tc>
          <w:tcPr>
            <w:tcW w:w="810" w:type="dxa"/>
            <w:noWrap w:val="0"/>
            <w:vAlign w:val="center"/>
          </w:tcPr>
          <w:p>
            <w:pPr>
              <w:widowControl/>
              <w:jc w:val="center"/>
              <w:rPr>
                <w:rFonts w:hint="eastAsia" w:ascii="宋体" w:hAnsi="宋体" w:cs="宋体"/>
                <w:color w:val="auto"/>
                <w:kern w:val="0"/>
                <w:szCs w:val="21"/>
              </w:rPr>
            </w:pPr>
          </w:p>
        </w:tc>
        <w:tc>
          <w:tcPr>
            <w:tcW w:w="645" w:type="dxa"/>
            <w:noWrap w:val="0"/>
            <w:vAlign w:val="center"/>
          </w:tcPr>
          <w:p>
            <w:pPr>
              <w:widowControl/>
              <w:jc w:val="center"/>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2、3D场景、插秧机、秧苗等模型及动画制作：</w:t>
            </w:r>
            <w:r>
              <w:rPr>
                <w:rFonts w:hint="eastAsia" w:ascii="宋体" w:hAnsi="宋体" w:cs="宋体"/>
                <w:color w:val="auto"/>
                <w:kern w:val="0"/>
                <w:szCs w:val="21"/>
              </w:rPr>
              <w:br w:type="textWrapping"/>
            </w:r>
            <w:r>
              <w:rPr>
                <w:rFonts w:hint="eastAsia" w:ascii="宋体" w:hAnsi="宋体" w:cs="宋体"/>
                <w:color w:val="auto"/>
                <w:kern w:val="0"/>
                <w:szCs w:val="21"/>
              </w:rPr>
              <w:t>（1）以3D场景设计思路，设计采用3D建模、高模烘焙低模技术；</w:t>
            </w:r>
            <w:r>
              <w:rPr>
                <w:rFonts w:hint="eastAsia" w:ascii="宋体" w:hAnsi="宋体" w:cs="宋体"/>
                <w:color w:val="auto"/>
                <w:kern w:val="0"/>
                <w:szCs w:val="21"/>
              </w:rPr>
              <w:br w:type="textWrapping"/>
            </w:r>
            <w:r>
              <w:rPr>
                <w:rFonts w:hint="eastAsia" w:ascii="宋体" w:hAnsi="宋体" w:cs="宋体"/>
                <w:color w:val="auto"/>
                <w:kern w:val="0"/>
                <w:szCs w:val="21"/>
              </w:rPr>
              <w:t>（2）符合PBR材质制作的UV展开；</w:t>
            </w:r>
            <w:r>
              <w:rPr>
                <w:rFonts w:hint="eastAsia" w:ascii="宋体" w:hAnsi="宋体" w:cs="宋体"/>
                <w:color w:val="auto"/>
                <w:kern w:val="0"/>
                <w:szCs w:val="21"/>
              </w:rPr>
              <w:br w:type="textWrapping"/>
            </w:r>
            <w:r>
              <w:rPr>
                <w:rFonts w:hint="eastAsia" w:ascii="宋体" w:hAnsi="宋体" w:cs="宋体"/>
                <w:color w:val="auto"/>
                <w:kern w:val="0"/>
                <w:szCs w:val="21"/>
              </w:rPr>
              <w:t>（3）符合WEBGL及移动平台的材质规格及模型面数；</w:t>
            </w:r>
            <w:r>
              <w:rPr>
                <w:rFonts w:hint="eastAsia" w:ascii="宋体" w:hAnsi="宋体" w:cs="宋体"/>
                <w:color w:val="auto"/>
                <w:kern w:val="0"/>
                <w:szCs w:val="21"/>
              </w:rPr>
              <w:br w:type="textWrapping"/>
            </w:r>
            <w:r>
              <w:rPr>
                <w:rFonts w:hint="eastAsia" w:ascii="宋体" w:hAnsi="宋体" w:cs="宋体"/>
                <w:color w:val="auto"/>
                <w:kern w:val="0"/>
                <w:szCs w:val="21"/>
              </w:rPr>
              <w:t>（4）Substance Painter制作PBR材质；</w:t>
            </w:r>
            <w:r>
              <w:rPr>
                <w:rFonts w:hint="eastAsia" w:ascii="宋体" w:hAnsi="宋体" w:cs="宋体"/>
                <w:color w:val="auto"/>
                <w:kern w:val="0"/>
                <w:szCs w:val="21"/>
              </w:rPr>
              <w:br w:type="textWrapping"/>
            </w:r>
            <w:r>
              <w:rPr>
                <w:rFonts w:hint="eastAsia" w:ascii="宋体" w:hAnsi="宋体" w:cs="宋体"/>
                <w:color w:val="auto"/>
                <w:kern w:val="0"/>
                <w:szCs w:val="21"/>
              </w:rPr>
              <w:t>（5）在UNITY引擎中使用URP渲染管线烘焙光照后以WEBGL输出展示版本；</w:t>
            </w:r>
            <w:r>
              <w:rPr>
                <w:rFonts w:hint="eastAsia" w:ascii="宋体" w:hAnsi="宋体" w:cs="宋体"/>
                <w:color w:val="auto"/>
                <w:kern w:val="0"/>
                <w:szCs w:val="21"/>
              </w:rPr>
              <w:br w:type="textWrapping"/>
            </w:r>
            <w:r>
              <w:rPr>
                <w:rFonts w:hint="eastAsia" w:ascii="宋体" w:hAnsi="宋体" w:cs="宋体"/>
                <w:color w:val="auto"/>
                <w:kern w:val="0"/>
                <w:szCs w:val="21"/>
              </w:rPr>
              <w:t>（6）符合WEBGL的场景氛围特效；</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3、UI设计：根据游戏策划方案，分解UI界面设计、页面布局等；</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4、功能开发：根据策划方案，采用WEBGL、AI语音技术，实现功能开发、三维场景、动画资源等数字内容集成；模拟还原驾驶插秧机插秧作业过程。 </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25000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5、功能测试及验证：根据策划方案，进行集成测试与系统测试，功能、性能及硬件环境测试。</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谷物联合收割机驾驶员</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谷物联合收割机驾驶员岗位体验</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1、3D场景设计及游戏功能策划：设计以谷物联合收割机工作的户外稻田为参考，建设收割机户外稻田的3D场景；</w:t>
            </w:r>
            <w:r>
              <w:rPr>
                <w:rFonts w:hint="eastAsia" w:ascii="宋体" w:hAnsi="宋体" w:cs="宋体"/>
                <w:color w:val="auto"/>
                <w:kern w:val="0"/>
                <w:szCs w:val="21"/>
              </w:rPr>
              <w:br w:type="textWrapping"/>
            </w:r>
            <w:r>
              <w:rPr>
                <w:rFonts w:hint="eastAsia" w:ascii="宋体" w:hAnsi="宋体" w:cs="宋体"/>
                <w:color w:val="auto"/>
                <w:kern w:val="0"/>
                <w:szCs w:val="21"/>
              </w:rPr>
              <w:t>功能策划：以3D场景为载体，用户驾驶收割机与AI驾驶进行比赛的方式，体验收割机驾驶员工作时的场景，驾驶收割机的乐趣，让体验者感受到收割机时的工作场景、形式、流程等，激发体验者对职业岗位的兴趣。模拟还原收割机驾驶员工作的过程，详细输出交互设计、趣味性体验方案；</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2、3D场景、谷物联合收割机等模型及动画制作：</w:t>
            </w:r>
            <w:r>
              <w:rPr>
                <w:rFonts w:hint="eastAsia" w:ascii="宋体" w:hAnsi="宋体" w:cs="宋体"/>
                <w:color w:val="auto"/>
                <w:kern w:val="0"/>
                <w:szCs w:val="21"/>
              </w:rPr>
              <w:br w:type="textWrapping"/>
            </w:r>
            <w:r>
              <w:rPr>
                <w:rFonts w:hint="eastAsia" w:ascii="宋体" w:hAnsi="宋体" w:cs="宋体"/>
                <w:color w:val="auto"/>
                <w:kern w:val="0"/>
                <w:szCs w:val="21"/>
              </w:rPr>
              <w:t>（1）以3D场景设计思路，设计采用3D建模、高模烘焙低模技术；</w:t>
            </w:r>
            <w:r>
              <w:rPr>
                <w:rFonts w:hint="eastAsia" w:ascii="宋体" w:hAnsi="宋体" w:cs="宋体"/>
                <w:color w:val="auto"/>
                <w:kern w:val="0"/>
                <w:szCs w:val="21"/>
              </w:rPr>
              <w:br w:type="textWrapping"/>
            </w:r>
            <w:r>
              <w:rPr>
                <w:rFonts w:hint="eastAsia" w:ascii="宋体" w:hAnsi="宋体" w:cs="宋体"/>
                <w:color w:val="auto"/>
                <w:kern w:val="0"/>
                <w:szCs w:val="21"/>
              </w:rPr>
              <w:t>（2）符合PBR材质制作的UV展开；</w:t>
            </w:r>
            <w:r>
              <w:rPr>
                <w:rFonts w:hint="eastAsia" w:ascii="宋体" w:hAnsi="宋体" w:cs="宋体"/>
                <w:color w:val="auto"/>
                <w:kern w:val="0"/>
                <w:szCs w:val="21"/>
              </w:rPr>
              <w:br w:type="textWrapping"/>
            </w:r>
            <w:r>
              <w:rPr>
                <w:rFonts w:hint="eastAsia" w:ascii="宋体" w:hAnsi="宋体" w:cs="宋体"/>
                <w:color w:val="auto"/>
                <w:kern w:val="0"/>
                <w:szCs w:val="21"/>
              </w:rPr>
              <w:t>（3）符合WEBGL及移动平台的材质规格及模型面数；</w:t>
            </w:r>
            <w:r>
              <w:rPr>
                <w:rFonts w:hint="eastAsia" w:ascii="宋体" w:hAnsi="宋体" w:cs="宋体"/>
                <w:color w:val="auto"/>
                <w:kern w:val="0"/>
                <w:szCs w:val="21"/>
              </w:rPr>
              <w:br w:type="textWrapping"/>
            </w:r>
            <w:r>
              <w:rPr>
                <w:rFonts w:hint="eastAsia" w:ascii="宋体" w:hAnsi="宋体" w:cs="宋体"/>
                <w:color w:val="auto"/>
                <w:kern w:val="0"/>
                <w:szCs w:val="21"/>
              </w:rPr>
              <w:t>（4）Substance Painter制作PBR材质；</w:t>
            </w:r>
            <w:r>
              <w:rPr>
                <w:rFonts w:hint="eastAsia" w:ascii="宋体" w:hAnsi="宋体" w:cs="宋体"/>
                <w:color w:val="auto"/>
                <w:kern w:val="0"/>
                <w:szCs w:val="21"/>
              </w:rPr>
              <w:br w:type="textWrapping"/>
            </w:r>
            <w:r>
              <w:rPr>
                <w:rFonts w:hint="eastAsia" w:ascii="宋体" w:hAnsi="宋体" w:cs="宋体"/>
                <w:color w:val="auto"/>
                <w:kern w:val="0"/>
                <w:szCs w:val="21"/>
              </w:rPr>
              <w:t>（5）在UNITY引擎中使用URP渲染管线烘焙光照后以WEBGL输出展示版本；</w:t>
            </w:r>
            <w:r>
              <w:rPr>
                <w:rFonts w:hint="eastAsia" w:ascii="宋体" w:hAnsi="宋体" w:cs="宋体"/>
                <w:color w:val="auto"/>
                <w:kern w:val="0"/>
                <w:szCs w:val="21"/>
              </w:rPr>
              <w:br w:type="textWrapping"/>
            </w:r>
            <w:r>
              <w:rPr>
                <w:rFonts w:hint="eastAsia" w:ascii="宋体" w:hAnsi="宋体" w:cs="宋体"/>
                <w:color w:val="auto"/>
                <w:kern w:val="0"/>
                <w:szCs w:val="21"/>
              </w:rPr>
              <w:t>（6）符合WEBGL的场景氛围特效；</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3、UI设计：根据游戏策划方案，分解UI界面设计、页面布局等；</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4、功能开发：根据策划方案，采用WEBGL、AI语音技术，实现功能开发、三维场景、动画资源等数字内容集成；模拟还原驾驶收割机收割作业过程。</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25000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5、功能测试及验证：根据策划方案，进行集成测试与系统测试，功能、性能及硬件环境测试。</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旋耕机驾驶员</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旋耕机驾驶员岗位体验</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1、3D场景设计及游戏功能策划：设计以旋耕机工作的户外旱地为参考，建设旋耕机户外旱地的3D场景；</w:t>
            </w:r>
            <w:r>
              <w:rPr>
                <w:rFonts w:hint="eastAsia" w:ascii="宋体" w:hAnsi="宋体" w:cs="宋体"/>
                <w:color w:val="auto"/>
                <w:kern w:val="0"/>
                <w:szCs w:val="21"/>
              </w:rPr>
              <w:br w:type="textWrapping"/>
            </w:r>
            <w:r>
              <w:rPr>
                <w:rFonts w:hint="eastAsia" w:ascii="宋体" w:hAnsi="宋体" w:cs="宋体"/>
                <w:color w:val="auto"/>
                <w:kern w:val="0"/>
                <w:szCs w:val="21"/>
              </w:rPr>
              <w:t>功能策划：以3D场景为载体，用户驾驶旋耕机与AI驾驶进行比赛的方式，体验旋耕机驾驶员工作时的场景，驾驶旋耕机的乐趣，让体验者感受到旋耕机时的工作场景、形式、流程等，激发体验者对职业岗位的兴趣。模拟还原旋耕机驾驶员工作的过程，详细输出交互设计、趣味性体验方案；</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2、3D场景、旋耕机等模型及动画制作：</w:t>
            </w:r>
            <w:r>
              <w:rPr>
                <w:rFonts w:hint="eastAsia" w:ascii="宋体" w:hAnsi="宋体" w:cs="宋体"/>
                <w:color w:val="auto"/>
                <w:kern w:val="0"/>
                <w:szCs w:val="21"/>
              </w:rPr>
              <w:br w:type="textWrapping"/>
            </w:r>
            <w:r>
              <w:rPr>
                <w:rFonts w:hint="eastAsia" w:ascii="宋体" w:hAnsi="宋体" w:cs="宋体"/>
                <w:color w:val="auto"/>
                <w:kern w:val="0"/>
                <w:szCs w:val="21"/>
              </w:rPr>
              <w:t>（1）以3D场景设计思路，设计采用3D建模、高模烘焙低模技术；</w:t>
            </w:r>
            <w:r>
              <w:rPr>
                <w:rFonts w:hint="eastAsia" w:ascii="宋体" w:hAnsi="宋体" w:cs="宋体"/>
                <w:color w:val="auto"/>
                <w:kern w:val="0"/>
                <w:szCs w:val="21"/>
              </w:rPr>
              <w:br w:type="textWrapping"/>
            </w:r>
            <w:r>
              <w:rPr>
                <w:rFonts w:hint="eastAsia" w:ascii="宋体" w:hAnsi="宋体" w:cs="宋体"/>
                <w:color w:val="auto"/>
                <w:kern w:val="0"/>
                <w:szCs w:val="21"/>
              </w:rPr>
              <w:t>（2）符合PBR材质制作的UV展开；</w:t>
            </w:r>
            <w:r>
              <w:rPr>
                <w:rFonts w:hint="eastAsia" w:ascii="宋体" w:hAnsi="宋体" w:cs="宋体"/>
                <w:color w:val="auto"/>
                <w:kern w:val="0"/>
                <w:szCs w:val="21"/>
              </w:rPr>
              <w:br w:type="textWrapping"/>
            </w:r>
            <w:r>
              <w:rPr>
                <w:rFonts w:hint="eastAsia" w:ascii="宋体" w:hAnsi="宋体" w:cs="宋体"/>
                <w:color w:val="auto"/>
                <w:kern w:val="0"/>
                <w:szCs w:val="21"/>
              </w:rPr>
              <w:t>（3）符合WEBGL及移动平台的材质规格及模型面数；</w:t>
            </w:r>
            <w:r>
              <w:rPr>
                <w:rFonts w:hint="eastAsia" w:ascii="宋体" w:hAnsi="宋体" w:cs="宋体"/>
                <w:color w:val="auto"/>
                <w:kern w:val="0"/>
                <w:szCs w:val="21"/>
              </w:rPr>
              <w:br w:type="textWrapping"/>
            </w:r>
            <w:r>
              <w:rPr>
                <w:rFonts w:hint="eastAsia" w:ascii="宋体" w:hAnsi="宋体" w:cs="宋体"/>
                <w:color w:val="auto"/>
                <w:kern w:val="0"/>
                <w:szCs w:val="21"/>
              </w:rPr>
              <w:t>（4）Substance Painter制作PBR材质；</w:t>
            </w:r>
            <w:r>
              <w:rPr>
                <w:rFonts w:hint="eastAsia" w:ascii="宋体" w:hAnsi="宋体" w:cs="宋体"/>
                <w:color w:val="auto"/>
                <w:kern w:val="0"/>
                <w:szCs w:val="21"/>
              </w:rPr>
              <w:br w:type="textWrapping"/>
            </w:r>
            <w:r>
              <w:rPr>
                <w:rFonts w:hint="eastAsia" w:ascii="宋体" w:hAnsi="宋体" w:cs="宋体"/>
                <w:color w:val="auto"/>
                <w:kern w:val="0"/>
                <w:szCs w:val="21"/>
              </w:rPr>
              <w:t>（5）在UNITY引擎中使用URP渲染管线烘焙光照后以WEBGL输出展示版本；</w:t>
            </w:r>
            <w:r>
              <w:rPr>
                <w:rFonts w:hint="eastAsia" w:ascii="宋体" w:hAnsi="宋体" w:cs="宋体"/>
                <w:color w:val="auto"/>
                <w:kern w:val="0"/>
                <w:szCs w:val="21"/>
              </w:rPr>
              <w:br w:type="textWrapping"/>
            </w:r>
            <w:r>
              <w:rPr>
                <w:rFonts w:hint="eastAsia" w:ascii="宋体" w:hAnsi="宋体" w:cs="宋体"/>
                <w:color w:val="auto"/>
                <w:kern w:val="0"/>
                <w:szCs w:val="21"/>
              </w:rPr>
              <w:t>（6）符合WEBGL的场景氛围特效；</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3、UI设计：根据游戏策划方案，分解UI界面设计、页面布局等；</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4、功能开发：根据策划方案，采用WEBGL、AI语音技术，实现功能开发、三维场景、动画资源等数字内容集成；模拟还原驾驶旋耕机耕地作业过程。</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25000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5、功能测试及验证：根据策划方案，进行集成测试与系统测试，功能、性能及硬件环境测试。</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植保无人机飞手</w:t>
            </w:r>
          </w:p>
        </w:tc>
        <w:tc>
          <w:tcPr>
            <w:tcW w:w="727"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植保无人机飞手岗位体验</w:t>
            </w: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1、3D场景设计及游戏功能策划：设计以植保无人机工作的户外稻田为参考，建设旋耕机户外稻田的3D场景；</w:t>
            </w:r>
            <w:r>
              <w:rPr>
                <w:rFonts w:hint="eastAsia" w:ascii="宋体" w:hAnsi="宋体" w:cs="宋体"/>
                <w:color w:val="auto"/>
                <w:kern w:val="0"/>
                <w:szCs w:val="21"/>
              </w:rPr>
              <w:br w:type="textWrapping"/>
            </w:r>
            <w:r>
              <w:rPr>
                <w:rFonts w:hint="eastAsia" w:ascii="宋体" w:hAnsi="宋体" w:cs="宋体"/>
                <w:color w:val="auto"/>
                <w:kern w:val="0"/>
                <w:szCs w:val="21"/>
              </w:rPr>
              <w:t>功能策划：以3D场景为载体，用户遥控操作植保无人机与AI遥控进行比赛的方式，体验植保无人机飞手工作时的场景，遥控操作植保无人机的乐趣，让体验者感受到植保无人机时的工作场景、形式、流程等，激发体验者对职业岗位的兴趣。模拟还原植保无人机飞手工作的过程，详细输出交互设计、趣味性体验方案；</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8000</w:t>
            </w:r>
          </w:p>
        </w:tc>
        <w:tc>
          <w:tcPr>
            <w:tcW w:w="75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4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720"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60000</w:t>
            </w: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2、3D场景、植保无人机等模型及动画制作：</w:t>
            </w:r>
            <w:r>
              <w:rPr>
                <w:rFonts w:hint="eastAsia" w:ascii="宋体" w:hAnsi="宋体" w:cs="宋体"/>
                <w:color w:val="auto"/>
                <w:kern w:val="0"/>
                <w:szCs w:val="21"/>
              </w:rPr>
              <w:br w:type="textWrapping"/>
            </w:r>
            <w:r>
              <w:rPr>
                <w:rFonts w:hint="eastAsia" w:ascii="宋体" w:hAnsi="宋体" w:cs="宋体"/>
                <w:color w:val="auto"/>
                <w:kern w:val="0"/>
                <w:szCs w:val="21"/>
              </w:rPr>
              <w:t>（1）以3D场景设计思路，设计采用3D建模、高模烘焙低模技术；</w:t>
            </w:r>
            <w:r>
              <w:rPr>
                <w:rFonts w:hint="eastAsia" w:ascii="宋体" w:hAnsi="宋体" w:cs="宋体"/>
                <w:color w:val="auto"/>
                <w:kern w:val="0"/>
                <w:szCs w:val="21"/>
              </w:rPr>
              <w:br w:type="textWrapping"/>
            </w:r>
            <w:r>
              <w:rPr>
                <w:rFonts w:hint="eastAsia" w:ascii="宋体" w:hAnsi="宋体" w:cs="宋体"/>
                <w:color w:val="auto"/>
                <w:kern w:val="0"/>
                <w:szCs w:val="21"/>
              </w:rPr>
              <w:t>（2）符合PBR材质制作的UV展开；</w:t>
            </w:r>
            <w:r>
              <w:rPr>
                <w:rFonts w:hint="eastAsia" w:ascii="宋体" w:hAnsi="宋体" w:cs="宋体"/>
                <w:color w:val="auto"/>
                <w:kern w:val="0"/>
                <w:szCs w:val="21"/>
              </w:rPr>
              <w:br w:type="textWrapping"/>
            </w:r>
            <w:r>
              <w:rPr>
                <w:rFonts w:hint="eastAsia" w:ascii="宋体" w:hAnsi="宋体" w:cs="宋体"/>
                <w:color w:val="auto"/>
                <w:kern w:val="0"/>
                <w:szCs w:val="21"/>
              </w:rPr>
              <w:t>（3）符合WEBGL及移动平台的材质规格及模型面数；</w:t>
            </w:r>
            <w:r>
              <w:rPr>
                <w:rFonts w:hint="eastAsia" w:ascii="宋体" w:hAnsi="宋体" w:cs="宋体"/>
                <w:color w:val="auto"/>
                <w:kern w:val="0"/>
                <w:szCs w:val="21"/>
              </w:rPr>
              <w:br w:type="textWrapping"/>
            </w:r>
            <w:r>
              <w:rPr>
                <w:rFonts w:hint="eastAsia" w:ascii="宋体" w:hAnsi="宋体" w:cs="宋体"/>
                <w:color w:val="auto"/>
                <w:kern w:val="0"/>
                <w:szCs w:val="21"/>
              </w:rPr>
              <w:t>（4）Substance Painter制作PBR材质；</w:t>
            </w:r>
            <w:r>
              <w:rPr>
                <w:rFonts w:hint="eastAsia" w:ascii="宋体" w:hAnsi="宋体" w:cs="宋体"/>
                <w:color w:val="auto"/>
                <w:kern w:val="0"/>
                <w:szCs w:val="21"/>
              </w:rPr>
              <w:br w:type="textWrapping"/>
            </w:r>
            <w:r>
              <w:rPr>
                <w:rFonts w:hint="eastAsia" w:ascii="宋体" w:hAnsi="宋体" w:cs="宋体"/>
                <w:color w:val="auto"/>
                <w:kern w:val="0"/>
                <w:szCs w:val="21"/>
              </w:rPr>
              <w:t>（5）在UNITY引擎中使用URP渲染管线烘焙光照后以WEBGL输出展示版本；</w:t>
            </w:r>
            <w:r>
              <w:rPr>
                <w:rFonts w:hint="eastAsia" w:ascii="宋体" w:hAnsi="宋体" w:cs="宋体"/>
                <w:color w:val="auto"/>
                <w:kern w:val="0"/>
                <w:szCs w:val="21"/>
              </w:rPr>
              <w:br w:type="textWrapping"/>
            </w:r>
            <w:r>
              <w:rPr>
                <w:rFonts w:hint="eastAsia" w:ascii="宋体" w:hAnsi="宋体" w:cs="宋体"/>
                <w:color w:val="auto"/>
                <w:kern w:val="0"/>
                <w:szCs w:val="21"/>
              </w:rPr>
              <w:t>（6）符合WEBGL的场景氛围特效；</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3、UI设计：根据游戏策划方案，分解UI界面设计、页面布局等；</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4、功能开发：根据策划方案，采用WEBGL、AI语音技术，实现功能开发、三维场景、动画资源等数字内容集成；模拟还原植保无人机施肥、施药的作业过程。</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25000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0" w:type="dxa"/>
            <w:vMerge w:val="continue"/>
            <w:noWrap w:val="0"/>
            <w:vAlign w:val="center"/>
          </w:tcPr>
          <w:p>
            <w:pPr>
              <w:widowControl/>
              <w:jc w:val="left"/>
              <w:rPr>
                <w:rFonts w:ascii="宋体" w:hAnsi="宋体" w:cs="宋体"/>
                <w:color w:val="auto"/>
                <w:kern w:val="0"/>
                <w:szCs w:val="21"/>
              </w:rPr>
            </w:pPr>
          </w:p>
        </w:tc>
        <w:tc>
          <w:tcPr>
            <w:tcW w:w="859" w:type="dxa"/>
            <w:vMerge w:val="continue"/>
            <w:noWrap w:val="0"/>
            <w:vAlign w:val="center"/>
          </w:tcPr>
          <w:p>
            <w:pPr>
              <w:widowControl/>
              <w:jc w:val="left"/>
              <w:rPr>
                <w:rFonts w:ascii="宋体" w:hAnsi="宋体" w:cs="宋体"/>
                <w:color w:val="auto"/>
                <w:kern w:val="0"/>
                <w:szCs w:val="21"/>
              </w:rPr>
            </w:pPr>
          </w:p>
        </w:tc>
        <w:tc>
          <w:tcPr>
            <w:tcW w:w="1757" w:type="dxa"/>
            <w:vMerge w:val="continue"/>
            <w:noWrap w:val="0"/>
            <w:vAlign w:val="center"/>
          </w:tcPr>
          <w:p>
            <w:pPr>
              <w:widowControl/>
              <w:jc w:val="left"/>
              <w:rPr>
                <w:rFonts w:ascii="宋体" w:hAnsi="宋体" w:cs="宋体"/>
                <w:color w:val="auto"/>
                <w:kern w:val="0"/>
                <w:szCs w:val="21"/>
              </w:rPr>
            </w:pPr>
          </w:p>
        </w:tc>
        <w:tc>
          <w:tcPr>
            <w:tcW w:w="850" w:type="dxa"/>
            <w:vMerge w:val="continue"/>
            <w:noWrap w:val="0"/>
            <w:vAlign w:val="center"/>
          </w:tcPr>
          <w:p>
            <w:pPr>
              <w:widowControl/>
              <w:jc w:val="left"/>
              <w:rPr>
                <w:rFonts w:ascii="宋体" w:hAnsi="宋体" w:cs="宋体"/>
                <w:color w:val="auto"/>
                <w:kern w:val="0"/>
                <w:szCs w:val="21"/>
              </w:rPr>
            </w:pPr>
          </w:p>
        </w:tc>
        <w:tc>
          <w:tcPr>
            <w:tcW w:w="727" w:type="dxa"/>
            <w:vMerge w:val="continue"/>
            <w:noWrap w:val="0"/>
            <w:vAlign w:val="center"/>
          </w:tcPr>
          <w:p>
            <w:pPr>
              <w:widowControl/>
              <w:jc w:val="left"/>
              <w:rPr>
                <w:rFonts w:ascii="宋体" w:hAnsi="宋体" w:cs="宋体"/>
                <w:color w:val="auto"/>
                <w:kern w:val="0"/>
                <w:szCs w:val="21"/>
              </w:rPr>
            </w:pPr>
          </w:p>
        </w:tc>
        <w:tc>
          <w:tcPr>
            <w:tcW w:w="3855"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5、功能测试及验证：根据策划方案，进行集成测试与系统测试，功能、性能及硬件环境测试。</w:t>
            </w:r>
          </w:p>
        </w:tc>
        <w:tc>
          <w:tcPr>
            <w:tcW w:w="120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3000</w:t>
            </w:r>
          </w:p>
        </w:tc>
        <w:tc>
          <w:tcPr>
            <w:tcW w:w="750" w:type="dxa"/>
            <w:vMerge w:val="continue"/>
            <w:noWrap w:val="0"/>
            <w:vAlign w:val="center"/>
          </w:tcPr>
          <w:p>
            <w:pPr>
              <w:widowControl/>
              <w:jc w:val="left"/>
              <w:rPr>
                <w:rFonts w:ascii="宋体" w:hAnsi="宋体" w:cs="宋体"/>
                <w:color w:val="auto"/>
                <w:kern w:val="0"/>
                <w:szCs w:val="21"/>
              </w:rPr>
            </w:pPr>
          </w:p>
        </w:tc>
        <w:tc>
          <w:tcPr>
            <w:tcW w:w="540" w:type="dxa"/>
            <w:vMerge w:val="continue"/>
            <w:noWrap w:val="0"/>
            <w:vAlign w:val="center"/>
          </w:tcPr>
          <w:p>
            <w:pPr>
              <w:widowControl/>
              <w:jc w:val="left"/>
              <w:rPr>
                <w:rFonts w:ascii="宋体" w:hAnsi="宋体" w:cs="宋体"/>
                <w:color w:val="auto"/>
                <w:kern w:val="0"/>
                <w:szCs w:val="21"/>
              </w:rPr>
            </w:pPr>
          </w:p>
        </w:tc>
        <w:tc>
          <w:tcPr>
            <w:tcW w:w="720" w:type="dxa"/>
            <w:vMerge w:val="continue"/>
            <w:noWrap w:val="0"/>
            <w:vAlign w:val="center"/>
          </w:tcPr>
          <w:p>
            <w:pPr>
              <w:widowControl/>
              <w:jc w:val="left"/>
              <w:rPr>
                <w:rFonts w:ascii="宋体" w:hAnsi="宋体" w:cs="宋体"/>
                <w:color w:val="auto"/>
                <w:kern w:val="0"/>
                <w:szCs w:val="21"/>
              </w:rPr>
            </w:pPr>
          </w:p>
        </w:tc>
        <w:tc>
          <w:tcPr>
            <w:tcW w:w="855" w:type="dxa"/>
            <w:vMerge w:val="continue"/>
            <w:noWrap w:val="0"/>
            <w:vAlign w:val="center"/>
          </w:tcPr>
          <w:p>
            <w:pPr>
              <w:widowControl/>
              <w:jc w:val="left"/>
              <w:rPr>
                <w:rFonts w:ascii="宋体" w:hAnsi="宋体" w:cs="宋体"/>
                <w:color w:val="auto"/>
                <w:kern w:val="0"/>
                <w:szCs w:val="21"/>
              </w:rPr>
            </w:pPr>
          </w:p>
        </w:tc>
        <w:tc>
          <w:tcPr>
            <w:tcW w:w="810" w:type="dxa"/>
            <w:noWrap w:val="0"/>
            <w:vAlign w:val="center"/>
          </w:tcPr>
          <w:p>
            <w:pPr>
              <w:widowControl/>
              <w:jc w:val="left"/>
              <w:rPr>
                <w:rFonts w:ascii="宋体" w:hAnsi="宋体" w:cs="宋体"/>
                <w:color w:val="auto"/>
                <w:kern w:val="0"/>
                <w:szCs w:val="21"/>
              </w:rPr>
            </w:pPr>
          </w:p>
        </w:tc>
        <w:tc>
          <w:tcPr>
            <w:tcW w:w="645" w:type="dxa"/>
            <w:noWrap w:val="0"/>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258" w:type="dxa"/>
            <w:gridSpan w:val="9"/>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总计</w:t>
            </w:r>
          </w:p>
        </w:tc>
        <w:tc>
          <w:tcPr>
            <w:tcW w:w="855" w:type="dxa"/>
            <w:noWrap w:val="0"/>
            <w:vAlign w:val="center"/>
          </w:tcPr>
          <w:p>
            <w:pPr>
              <w:widowControl/>
              <w:jc w:val="center"/>
              <w:rPr>
                <w:rFonts w:hint="eastAsia" w:ascii="宋体" w:hAnsi="宋体" w:eastAsia="宋体" w:cs="宋体"/>
                <w:b/>
                <w:bCs/>
                <w:color w:val="auto"/>
                <w:kern w:val="0"/>
                <w:szCs w:val="21"/>
                <w:lang w:val="en-US" w:eastAsia="zh-CN"/>
              </w:rPr>
            </w:pPr>
            <w:r>
              <w:rPr>
                <w:rFonts w:hint="eastAsia" w:ascii="宋体" w:hAnsi="宋体" w:cs="宋体"/>
                <w:b/>
                <w:bCs/>
                <w:color w:val="auto"/>
                <w:kern w:val="0"/>
                <w:szCs w:val="21"/>
              </w:rPr>
              <w:t>599700</w:t>
            </w:r>
            <w:r>
              <w:rPr>
                <w:rFonts w:hint="eastAsia" w:ascii="宋体" w:hAnsi="宋体" w:cs="宋体"/>
                <w:b/>
                <w:bCs/>
                <w:color w:val="auto"/>
                <w:kern w:val="0"/>
                <w:szCs w:val="21"/>
                <w:lang w:val="en-US" w:eastAsia="zh-CN"/>
              </w:rPr>
              <w:t>元</w:t>
            </w:r>
          </w:p>
        </w:tc>
        <w:tc>
          <w:tcPr>
            <w:tcW w:w="810" w:type="dxa"/>
            <w:noWrap w:val="0"/>
            <w:vAlign w:val="center"/>
          </w:tcPr>
          <w:p>
            <w:pPr>
              <w:widowControl/>
              <w:jc w:val="center"/>
              <w:rPr>
                <w:rFonts w:hint="eastAsia" w:ascii="宋体" w:hAnsi="宋体" w:cs="宋体"/>
                <w:b/>
                <w:bCs/>
                <w:color w:val="auto"/>
                <w:kern w:val="0"/>
                <w:szCs w:val="21"/>
              </w:rPr>
            </w:pPr>
          </w:p>
        </w:tc>
        <w:tc>
          <w:tcPr>
            <w:tcW w:w="645" w:type="dxa"/>
            <w:noWrap w:val="0"/>
            <w:vAlign w:val="center"/>
          </w:tcPr>
          <w:p>
            <w:pPr>
              <w:widowControl/>
              <w:jc w:val="center"/>
              <w:rPr>
                <w:rFonts w:hint="eastAsia" w:ascii="宋体" w:hAnsi="宋体" w:cs="宋体"/>
                <w:b/>
                <w:bCs/>
                <w:color w:val="auto"/>
                <w:kern w:val="0"/>
                <w:szCs w:val="21"/>
              </w:rPr>
            </w:pPr>
          </w:p>
        </w:tc>
      </w:tr>
    </w:tbl>
    <w:p>
      <w:pPr>
        <w:spacing w:before="120" w:beforeLines="50" w:after="120" w:afterLines="50"/>
        <w:ind w:right="844" w:rightChars="400"/>
        <w:jc w:val="left"/>
        <w:rPr>
          <w:rFonts w:ascii="宋体" w:hAnsi="宋体"/>
          <w:color w:val="auto"/>
        </w:rPr>
      </w:pPr>
    </w:p>
    <w:p>
      <w:pPr>
        <w:rPr>
          <w:rFonts w:hint="default"/>
          <w:color w:val="auto"/>
          <w:lang w:val="en-US" w:eastAsia="zh-CN"/>
        </w:rPr>
      </w:pPr>
    </w:p>
    <w:sectPr>
      <w:pgSz w:w="16838" w:h="11906" w:orient="landscape"/>
      <w:pgMar w:top="1587" w:right="1474" w:bottom="1587" w:left="1474" w:header="851" w:footer="992" w:gutter="0"/>
      <w:pgNumType w:fmt="decimal"/>
      <w:cols w:space="720" w:num="1"/>
      <w:rtlGutter w:val="0"/>
      <w:docGrid w:type="linesAndChars" w:linePitch="312"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Align="top"/>
      <w:rPr>
        <w:rStyle w:val="23"/>
      </w:rPr>
    </w:pPr>
    <w:r>
      <w:fldChar w:fldCharType="begin"/>
    </w:r>
    <w:r>
      <w:rPr>
        <w:rStyle w:val="23"/>
      </w:rPr>
      <w:instrText xml:space="preserve">PAGE  </w:instrText>
    </w:r>
    <w:r>
      <w:fldChar w:fldCharType="end"/>
    </w: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E618B"/>
    <w:multiLevelType w:val="singleLevel"/>
    <w:tmpl w:val="A0CE618B"/>
    <w:lvl w:ilvl="0" w:tentative="0">
      <w:start w:val="1"/>
      <w:numFmt w:val="chineseCounting"/>
      <w:suff w:val="nothing"/>
      <w:lvlText w:val="%1、"/>
      <w:lvlJc w:val="left"/>
      <w:rPr>
        <w:rFonts w:hint="eastAsia"/>
      </w:rPr>
    </w:lvl>
  </w:abstractNum>
  <w:abstractNum w:abstractNumId="1">
    <w:nsid w:val="ABEBBCBD"/>
    <w:multiLevelType w:val="singleLevel"/>
    <w:tmpl w:val="ABEBBCBD"/>
    <w:lvl w:ilvl="0" w:tentative="0">
      <w:start w:val="2"/>
      <w:numFmt w:val="chineseCounting"/>
      <w:suff w:val="nothing"/>
      <w:lvlText w:val="%1、"/>
      <w:lvlJc w:val="left"/>
      <w:rPr>
        <w:rFonts w:hint="eastAsia"/>
      </w:rPr>
    </w:lvl>
  </w:abstractNum>
  <w:abstractNum w:abstractNumId="2">
    <w:nsid w:val="11B99637"/>
    <w:multiLevelType w:val="singleLevel"/>
    <w:tmpl w:val="11B99637"/>
    <w:lvl w:ilvl="0" w:tentative="0">
      <w:start w:val="1"/>
      <w:numFmt w:val="decimalEnclosedCircleChinese"/>
      <w:suff w:val="nothing"/>
      <w:lvlText w:val="%1　"/>
      <w:lvlJc w:val="left"/>
      <w:pPr>
        <w:ind w:left="0" w:firstLine="400"/>
      </w:pPr>
      <w:rPr>
        <w:rFonts w:hint="eastAsia"/>
      </w:rPr>
    </w:lvl>
  </w:abstractNum>
  <w:abstractNum w:abstractNumId="3">
    <w:nsid w:val="5A8FABBE"/>
    <w:multiLevelType w:val="singleLevel"/>
    <w:tmpl w:val="5A8FABBE"/>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OWExZjdjNTc4OTVhZGRhZjA5MjE3MWI3NGVlYjYifQ=="/>
  </w:docVars>
  <w:rsids>
    <w:rsidRoot w:val="54FC6AAC"/>
    <w:rsid w:val="00C259A5"/>
    <w:rsid w:val="038227DD"/>
    <w:rsid w:val="136259FA"/>
    <w:rsid w:val="194F691E"/>
    <w:rsid w:val="1C6963B1"/>
    <w:rsid w:val="1D954E2B"/>
    <w:rsid w:val="1E434698"/>
    <w:rsid w:val="1E7239B4"/>
    <w:rsid w:val="1E8344B0"/>
    <w:rsid w:val="21BF3F6C"/>
    <w:rsid w:val="21E93AF0"/>
    <w:rsid w:val="22D51623"/>
    <w:rsid w:val="23D16DD0"/>
    <w:rsid w:val="26B96F72"/>
    <w:rsid w:val="27E72880"/>
    <w:rsid w:val="2BE879B1"/>
    <w:rsid w:val="2D5E607D"/>
    <w:rsid w:val="2DAA05C9"/>
    <w:rsid w:val="2F234777"/>
    <w:rsid w:val="32CE0BD2"/>
    <w:rsid w:val="348D21C6"/>
    <w:rsid w:val="34F00678"/>
    <w:rsid w:val="34FF56AD"/>
    <w:rsid w:val="3653262E"/>
    <w:rsid w:val="3F9904AC"/>
    <w:rsid w:val="417C4DD9"/>
    <w:rsid w:val="41B46538"/>
    <w:rsid w:val="45185D57"/>
    <w:rsid w:val="466D48DD"/>
    <w:rsid w:val="47EF5B94"/>
    <w:rsid w:val="49DE23C0"/>
    <w:rsid w:val="4AEB7074"/>
    <w:rsid w:val="4FF72501"/>
    <w:rsid w:val="520D5C3F"/>
    <w:rsid w:val="529356CC"/>
    <w:rsid w:val="54F8789E"/>
    <w:rsid w:val="54FC6AAC"/>
    <w:rsid w:val="55A53521"/>
    <w:rsid w:val="56CE7C57"/>
    <w:rsid w:val="5A623E64"/>
    <w:rsid w:val="5D4F0619"/>
    <w:rsid w:val="5E9F0D0B"/>
    <w:rsid w:val="5F0E3C81"/>
    <w:rsid w:val="61F422E4"/>
    <w:rsid w:val="62C62218"/>
    <w:rsid w:val="66F60CBF"/>
    <w:rsid w:val="680858A3"/>
    <w:rsid w:val="6AF33DB6"/>
    <w:rsid w:val="753A180E"/>
    <w:rsid w:val="76837EE4"/>
    <w:rsid w:val="77F04233"/>
    <w:rsid w:val="78201591"/>
    <w:rsid w:val="784B5AE0"/>
    <w:rsid w:val="793706BF"/>
    <w:rsid w:val="7B5B2A7F"/>
    <w:rsid w:val="7E7C6F92"/>
    <w:rsid w:val="7FED1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customStyle="1" w:styleId="3">
    <w:name w:val="Default"/>
    <w:next w:val="4"/>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
    <w:name w:val="Intense Quote"/>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8">
    <w:name w:val="Normal Indent"/>
    <w:basedOn w:val="1"/>
    <w:autoRedefine/>
    <w:qFormat/>
    <w:uiPriority w:val="0"/>
    <w:pPr>
      <w:widowControl/>
      <w:ind w:firstLine="420"/>
      <w:jc w:val="left"/>
    </w:pPr>
    <w:rPr>
      <w:kern w:val="0"/>
      <w:sz w:val="20"/>
      <w:szCs w:val="20"/>
    </w:rPr>
  </w:style>
  <w:style w:type="paragraph" w:styleId="9">
    <w:name w:val="annotation text"/>
    <w:basedOn w:val="1"/>
    <w:autoRedefine/>
    <w:qFormat/>
    <w:uiPriority w:val="0"/>
    <w:pPr>
      <w:jc w:val="left"/>
    </w:pPr>
  </w:style>
  <w:style w:type="paragraph" w:styleId="10">
    <w:name w:val="Body Text Indent"/>
    <w:basedOn w:val="1"/>
    <w:next w:val="1"/>
    <w:autoRedefine/>
    <w:qFormat/>
    <w:uiPriority w:val="0"/>
    <w:pPr>
      <w:spacing w:after="120"/>
      <w:ind w:left="420" w:leftChars="200"/>
    </w:pPr>
  </w:style>
  <w:style w:type="paragraph" w:styleId="11">
    <w:name w:val="Plain Text"/>
    <w:basedOn w:val="1"/>
    <w:autoRedefine/>
    <w:qFormat/>
    <w:uiPriority w:val="0"/>
    <w:rPr>
      <w:rFonts w:ascii="宋体" w:hAnsi="Courier New" w:cs="Courier New"/>
      <w:szCs w:val="21"/>
    </w:rPr>
  </w:style>
  <w:style w:type="paragraph" w:styleId="12">
    <w:name w:val="Date"/>
    <w:basedOn w:val="1"/>
    <w:next w:val="1"/>
    <w:autoRedefine/>
    <w:qFormat/>
    <w:uiPriority w:val="0"/>
    <w:rPr>
      <w:sz w:val="24"/>
      <w:szCs w:val="20"/>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autoRedefine/>
    <w:qFormat/>
    <w:uiPriority w:val="0"/>
    <w:pPr>
      <w:ind w:left="420" w:leftChars="200"/>
    </w:pPr>
  </w:style>
  <w:style w:type="paragraph" w:styleId="16">
    <w:name w:val="Body Text 2"/>
    <w:basedOn w:val="1"/>
    <w:autoRedefine/>
    <w:qFormat/>
    <w:uiPriority w:val="0"/>
    <w:pPr>
      <w:spacing w:after="120" w:line="480" w:lineRule="auto"/>
    </w:p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10"/>
    <w:next w:val="8"/>
    <w:autoRedefine/>
    <w:qFormat/>
    <w:uiPriority w:val="0"/>
    <w:pPr>
      <w:ind w:firstLine="420" w:firstLineChars="200"/>
    </w:p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autoRedefine/>
    <w:qFormat/>
    <w:uiPriority w:val="0"/>
    <w:rPr>
      <w:b/>
      <w:bCs/>
    </w:rPr>
  </w:style>
  <w:style w:type="character" w:styleId="23">
    <w:name w:val="page number"/>
    <w:basedOn w:val="21"/>
    <w:autoRedefine/>
    <w:qFormat/>
    <w:uiPriority w:val="0"/>
  </w:style>
  <w:style w:type="paragraph" w:customStyle="1" w:styleId="2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25">
    <w:name w:val="BodyText1I2"/>
    <w:basedOn w:val="26"/>
    <w:autoRedefine/>
    <w:qFormat/>
    <w:uiPriority w:val="0"/>
    <w:pPr>
      <w:spacing w:after="120"/>
      <w:ind w:left="420" w:leftChars="200" w:firstLine="420"/>
      <w:jc w:val="left"/>
      <w:textAlignment w:val="baseline"/>
    </w:pPr>
    <w:rPr>
      <w:rFonts w:ascii="Calibri" w:hAnsi="Calibri" w:eastAsia="宋体"/>
      <w:kern w:val="2"/>
      <w:sz w:val="21"/>
      <w:szCs w:val="24"/>
      <w:lang w:val="en-US" w:eastAsia="zh-CN" w:bidi="ar-SA"/>
    </w:rPr>
  </w:style>
  <w:style w:type="paragraph" w:customStyle="1" w:styleId="26">
    <w:name w:val="BodyTextIndent"/>
    <w:basedOn w:val="1"/>
    <w:autoRedefine/>
    <w:qFormat/>
    <w:uiPriority w:val="0"/>
    <w:pPr>
      <w:spacing w:after="120"/>
      <w:ind w:left="420" w:leftChars="200"/>
      <w:jc w:val="both"/>
      <w:textAlignment w:val="baseline"/>
    </w:pPr>
    <w:rPr>
      <w:rFonts w:ascii="Calibri" w:hAnsi="Calibri" w:eastAsia="宋体"/>
      <w:kern w:val="2"/>
      <w:sz w:val="21"/>
      <w:szCs w:val="24"/>
      <w:lang w:val="en-US" w:eastAsia="zh-CN" w:bidi="ar-SA"/>
    </w:rPr>
  </w:style>
  <w:style w:type="paragraph" w:customStyle="1" w:styleId="27">
    <w:name w:val="p0"/>
    <w:basedOn w:val="1"/>
    <w:autoRedefine/>
    <w:qFormat/>
    <w:uiPriority w:val="0"/>
    <w:pPr>
      <w:widowControl/>
    </w:pPr>
    <w:rPr>
      <w:kern w:val="0"/>
      <w:szCs w:val="21"/>
    </w:rPr>
  </w:style>
  <w:style w:type="paragraph" w:customStyle="1" w:styleId="28">
    <w:name w:val="Table Paragraph"/>
    <w:basedOn w:val="1"/>
    <w:autoRedefine/>
    <w:qFormat/>
    <w:uiPriority w:val="1"/>
    <w:pPr>
      <w:jc w:val="left"/>
    </w:pPr>
    <w:rPr>
      <w:kern w:val="0"/>
      <w:sz w:val="22"/>
      <w:lang w:eastAsia="en-US"/>
    </w:rPr>
  </w:style>
  <w:style w:type="paragraph" w:customStyle="1" w:styleId="29">
    <w:name w:val="表格文字"/>
    <w:basedOn w:val="1"/>
    <w:next w:val="2"/>
    <w:autoRedefine/>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0</Words>
  <Characters>0</Characters>
  <Lines>0</Lines>
  <Paragraphs>0</Paragraphs>
  <TotalTime>12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2024-04-10T07:25:00Z</dcterms:created>
  <dc:creator>awake</dc:creator>
  <cp:lastModifiedBy>Administrator</cp:lastModifiedBy>
  <dcterms:modified xsi:type="dcterms:W3CDTF">2024-04-26T09:55:50Z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3CAD2615F64749798521995AE3C1FD90_13</vt:lpwstr>
  </property>
</Properties>
</file>