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附件1.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2020年教师职业能力竞赛教学能力比赛评审指标</w:t>
      </w:r>
    </w:p>
    <w:p>
      <w:pPr>
        <w:spacing w:line="240" w:lineRule="exact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公共基础课程组</w:t>
      </w:r>
    </w:p>
    <w:tbl>
      <w:tblPr>
        <w:tblStyle w:val="4"/>
        <w:tblW w:w="8985" w:type="dxa"/>
        <w:jc w:val="center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11"/>
        <w:gridCol w:w="7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评价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7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学情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2" w:type="dxa"/>
          </w:tcPr>
          <w:p>
            <w:pPr>
              <w:spacing w:line="340" w:lineRule="exact"/>
            </w:pPr>
            <w:r>
              <w:rPr>
                <w:rFonts w:hint="eastAsia"/>
              </w:rPr>
              <w:t>1.适应新时代对技术技能人才培养的新要求，符合教育部发布的公共基础教学大纲（课程标准）有关要求，紧扣学校专业人才培养方案和课程教学安排，强调培育学生的学习能力、信息素养和职业精神。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2.教学目标表述明确、相互关联，重点突出、可评可测。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3.客观分析学生的知识基础、认知能力、学习特点等，详实反映学生整体与个体情况数据，准确预判教学难点及其掌握可能。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策略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2" w:type="dxa"/>
          </w:tcPr>
          <w:p>
            <w:pPr>
              <w:spacing w:line="340" w:lineRule="exact"/>
            </w:pPr>
            <w:r>
              <w:rPr>
                <w:rFonts w:hint="eastAsia"/>
              </w:rPr>
              <w:t>1.联系时代发展和社会生活，融通专业课程和职业能力，弘扬劳动精神，培育创新意识；思政课程充分反映马克思主义中国化最新成果，其他课程注重落实课程思政要求。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2.教学内容有效支撑教学目标的实现，选择科学严谨、容量适度，安排合理、衔接有序、结构清晰。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3.教材选用符合规定，配套提供丰富、优质的学习资源，教案完整、规范、简明、真实。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4.教学过程系统优化，流程环节构思得当，技术应用预想合理，方法手段设计恰当，评价考核考虑周全。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成效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652" w:type="dxa"/>
          </w:tcPr>
          <w:p>
            <w:pPr>
              <w:spacing w:line="340" w:lineRule="exact"/>
            </w:pPr>
            <w:r>
              <w:rPr>
                <w:rFonts w:hint="eastAsia"/>
              </w:rPr>
              <w:t>1.体现先进教育思想和教学理念，遵循学生认知规律，符合课堂教学实际。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2.按照教学设计实施教学，关注重点、难点的解决，能够针对学习反馈及时调整教学，突出学生中心，实行因材施教。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3.教学环境满足需求，教学活动开展有序，教学互动广泛深入，教学气氛生动活泼。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4.关注教与学全过程信息采集，针对目标要求开展考核与评价。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5.合理运用信息技术、数字资源、信息化教学设施设备提高教学与管理成效。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素养</w:t>
            </w:r>
          </w:p>
          <w:p>
            <w:pPr>
              <w:jc w:val="center"/>
            </w:pPr>
          </w:p>
        </w:tc>
        <w:tc>
          <w:tcPr>
            <w:tcW w:w="5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2" w:type="dxa"/>
          </w:tcPr>
          <w:p>
            <w:pPr>
              <w:spacing w:line="340" w:lineRule="exact"/>
            </w:pPr>
            <w:r>
              <w:rPr>
                <w:rFonts w:hint="eastAsia"/>
              </w:rPr>
              <w:t>1.充分展现新时代职业院校教师良好的师德师风、教学技能和信息素养，发挥教学团队协作优势。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2.教师课堂教学态度认真、严谨规范、表述清晰、亲和力强。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3.教学实施报告客观记载、真实反映、深刻反思教与学的成效与不足，提出教学设计与课堂实施的改进设想。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4.决赛现场展示与答辩聚焦主题、科学准确、思路清晰、逻辑严谨、研究深入、手段得当、简洁明了、表达流畅。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特色</w:t>
            </w:r>
          </w:p>
          <w:p>
            <w:pPr>
              <w:jc w:val="center"/>
            </w:pPr>
            <w:r>
              <w:rPr>
                <w:rFonts w:hint="eastAsia"/>
              </w:rPr>
              <w:t>创新</w:t>
            </w:r>
          </w:p>
          <w:p>
            <w:pPr>
              <w:jc w:val="center"/>
            </w:pPr>
          </w:p>
        </w:tc>
        <w:tc>
          <w:tcPr>
            <w:tcW w:w="5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2" w:type="dxa"/>
          </w:tcPr>
          <w:p>
            <w:pPr>
              <w:spacing w:line="340" w:lineRule="exact"/>
            </w:pPr>
            <w:r>
              <w:rPr>
                <w:rFonts w:hint="eastAsia"/>
              </w:rPr>
              <w:t>1.能够引导学生树立正确的理想信念、学会正确的思维方法、培育正确的劳动观念。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2.能够创新教学模式，给学生深刻的学习体验。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3.能够与时俱进地提高信息技术应用能力、教研科研能力。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4.具有较大的借鉴和推广价值。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二、专业（技能）课程组</w:t>
      </w:r>
    </w:p>
    <w:tbl>
      <w:tblPr>
        <w:tblStyle w:val="4"/>
        <w:tblW w:w="8767" w:type="dxa"/>
        <w:jc w:val="center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38"/>
        <w:gridCol w:w="7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438" w:type="dxa"/>
            <w:vAlign w:val="center"/>
          </w:tcPr>
          <w:p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学情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85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1.适应新时代对技术技能人才培养的新要求，符合教育部发布的专业教学标准、实训教学条件建设标准（仪器设备装备规范）、顶岗实习标准等有关要求，涉及 1+X 证书制度试点的专业，还应对接有关职业技能等级标准。紧扣学校专业人才培养方案和课程标准，强调培育学生的学习能力、信息素养以及专业精神、职业精神和工匠精神。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2.教学目标表述明确、相互关联，重点突出、可评可测。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3.客观分析学生的知识和技能基础、认知和实践能力、学习特点等，详实反映学生整体与个体情况数据，准确预判教学难点及其掌握可能。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策略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85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1.能够有机融入思想政治教育元素，落实课程思政要求，及时反映相关领域产业升级的新技术、新工艺、新规范，重视加强劳动教育，弘扬劳动精神、劳模精神。针对基于职业工作过程建设模块化课程的需求，优化教学内容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2.教学内容有效支撑教学目标的实现，选择科学严谨、容量适度，安排合理、衔接有序、结构清晰。实训教学内容源于真实工作任务、项目或工作流程、过程等。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3.教材选用符合规定，补充引用生产实际案例，配套提供丰富、优质的学习资源，教案完整、规范、简明、真实。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4.根据项目式、案例式等教学需要，教学过程系统优化，流程环节构思得当，技术应用预想合理，方法手段设计恰当，评价考核考虑周全。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成效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685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1.体现先进教育思想和教学理念，遵循学生认知规律，符合课堂教学实际，落实德技并修、工学结合。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3.教学环境满足需求，教学活动安全有序，教学互动广泛深入，教学气氛生动活泼。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4.关注教与学全过程的信息采集，针对目标要求开展教学与实践的考核与评价。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5.合理运用云计算、大数据、物联网、虚拟/增强现实、人工智能等信息技术以及数字资源、信息化教学设施设备改造传统教学与实践方式、提高管理成效。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素养</w:t>
            </w:r>
          </w:p>
          <w:p>
            <w:pPr>
              <w:jc w:val="center"/>
            </w:pPr>
          </w:p>
        </w:tc>
        <w:tc>
          <w:tcPr>
            <w:tcW w:w="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85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1.充分展现新时代职业院校教师良好的师德师风、教学技能、实践能力和信息素养，发挥教学团队协作优势。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2.课堂教学态度认真、严谨规范、表述清晰、亲和力强。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3.实训教学讲解和操作配合恰当，规范娴熟、示范有效，符合职业岗位要求，展现良好“双师”素养。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4.教学实施报告客观记载、真实反映、深刻反思理论、实践教与学的成效与不足，提出教学设计与课堂实施的改进设想。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5.决赛现场展示与答辩聚焦主题、科学准确、思路清晰、逻辑严谨、研究深入、手段得当、简洁明了、表达流畅。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特色</w:t>
            </w:r>
          </w:p>
          <w:p>
            <w:pPr>
              <w:jc w:val="center"/>
            </w:pPr>
            <w:r>
              <w:rPr>
                <w:rFonts w:hint="eastAsia"/>
              </w:rPr>
              <w:t>创新</w:t>
            </w:r>
          </w:p>
          <w:p>
            <w:pPr>
              <w:jc w:val="center"/>
            </w:pPr>
          </w:p>
        </w:tc>
        <w:tc>
          <w:tcPr>
            <w:tcW w:w="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85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1.能够引导学生树立正确的理想信念、学会正确的思维方法、培育正确的劳动观念。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2.能够创新教学与实训模式，给学生深刻的学习与实践体验。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3.能够与时俱进地更新专业知识、积累实践技能、提高信息技术应用能力和教研科研能力。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4.具有较大的借鉴和推广价值。</w:t>
            </w:r>
          </w:p>
        </w:tc>
      </w:tr>
    </w:tbl>
    <w:p/>
    <w:p>
      <w:pPr>
        <w:spacing w:line="40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75BD"/>
    <w:multiLevelType w:val="multilevel"/>
    <w:tmpl w:val="570E75B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D041B"/>
    <w:rsid w:val="49DD04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2020-04-28T03:26:00Z</dcterms:created>
  <dc:creator>Administrator</dc:creator>
  <cp:lastModifiedBy>Administrator</cp:lastModifiedBy>
  <dcterms:modified xsi:type="dcterms:W3CDTF">2020-04-28T03:27:16Z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