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13" w:rsidRDefault="00FD2813" w:rsidP="00FD2813">
      <w:pPr>
        <w:pStyle w:val="a3"/>
        <w:ind w:firstLineChars="1000" w:firstLine="3213"/>
        <w:rPr>
          <w:rFonts w:ascii="宋体" w:hAnsi="宋体"/>
          <w:sz w:val="32"/>
          <w:szCs w:val="32"/>
        </w:rPr>
      </w:pPr>
      <w:r>
        <w:rPr>
          <w:rFonts w:ascii="宋体" w:hAnsi="宋体" w:hint="eastAsia"/>
          <w:b/>
          <w:bCs/>
          <w:sz w:val="32"/>
          <w:szCs w:val="32"/>
        </w:rPr>
        <w:t>评审因素和标准</w:t>
      </w:r>
    </w:p>
    <w:tbl>
      <w:tblPr>
        <w:tblW w:w="5701"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786"/>
        <w:gridCol w:w="764"/>
        <w:gridCol w:w="506"/>
        <w:gridCol w:w="7343"/>
      </w:tblGrid>
      <w:tr w:rsidR="00FD2813" w:rsidTr="00FD2813">
        <w:trPr>
          <w:trHeight w:val="1977"/>
        </w:trPr>
        <w:tc>
          <w:tcPr>
            <w:tcW w:w="319" w:type="dxa"/>
            <w:tcBorders>
              <w:top w:val="single" w:sz="4" w:space="0" w:color="auto"/>
              <w:left w:val="single" w:sz="4" w:space="0" w:color="auto"/>
              <w:bottom w:val="single" w:sz="4" w:space="0" w:color="auto"/>
              <w:right w:val="single" w:sz="4" w:space="0" w:color="auto"/>
            </w:tcBorders>
            <w:vAlign w:val="center"/>
            <w:hideMark/>
          </w:tcPr>
          <w:p w:rsidR="00FD2813" w:rsidRDefault="00FD2813">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1</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pStyle w:val="Normal8"/>
              <w:snapToGrid w:val="0"/>
              <w:spacing w:line="360" w:lineRule="exact"/>
              <w:jc w:val="both"/>
              <w:rPr>
                <w:rFonts w:ascii="仿宋" w:eastAsia="仿宋" w:hAnsi="仿宋"/>
                <w:color w:val="000000"/>
              </w:rPr>
            </w:pPr>
            <w:r>
              <w:rPr>
                <w:rFonts w:ascii="仿宋" w:eastAsia="仿宋" w:hAnsi="仿宋" w:hint="eastAsia"/>
                <w:color w:val="000000"/>
                <w:kern w:val="2"/>
              </w:rPr>
              <w:t>报价  20分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FD2813" w:rsidRDefault="00FD2813">
            <w:pPr>
              <w:pStyle w:val="Normal8"/>
              <w:snapToGrid w:val="0"/>
              <w:spacing w:line="360" w:lineRule="exact"/>
              <w:jc w:val="both"/>
              <w:rPr>
                <w:rFonts w:ascii="仿宋" w:eastAsia="仿宋" w:hAnsi="仿宋"/>
                <w:color w:val="000000"/>
                <w:kern w:val="2"/>
              </w:rPr>
            </w:pP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ind w:rightChars="-49" w:right="-103"/>
              <w:rPr>
                <w:rFonts w:ascii="仿宋" w:eastAsia="仿宋" w:hAnsi="仿宋"/>
                <w:color w:val="000000"/>
                <w:sz w:val="24"/>
                <w:szCs w:val="24"/>
              </w:rPr>
            </w:pPr>
            <w:r>
              <w:rPr>
                <w:rFonts w:ascii="仿宋" w:eastAsia="仿宋" w:hAnsi="仿宋" w:hint="eastAsia"/>
                <w:color w:val="000000"/>
                <w:sz w:val="24"/>
                <w:szCs w:val="24"/>
              </w:rPr>
              <w:t>20</w:t>
            </w:r>
          </w:p>
          <w:p w:rsidR="00FD2813" w:rsidRDefault="00FD2813">
            <w:pPr>
              <w:snapToGrid w:val="0"/>
              <w:spacing w:line="360" w:lineRule="exact"/>
              <w:ind w:rightChars="-49" w:right="-103"/>
              <w:rPr>
                <w:rFonts w:ascii="仿宋" w:eastAsia="仿宋" w:hAnsi="仿宋"/>
                <w:color w:val="000000"/>
                <w:sz w:val="24"/>
                <w:szCs w:val="24"/>
              </w:rPr>
            </w:pPr>
            <w:r>
              <w:rPr>
                <w:rFonts w:ascii="仿宋" w:eastAsia="仿宋" w:hAnsi="仿宋" w:hint="eastAsia"/>
                <w:color w:val="000000"/>
                <w:sz w:val="24"/>
                <w:szCs w:val="24"/>
              </w:rPr>
              <w:t>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满足磋商文件要求且最后报价最低的供应商的价格为磋商基准价，其价格分为满分。其他供应商的价格</w:t>
            </w:r>
            <w:proofErr w:type="gramStart"/>
            <w:r>
              <w:rPr>
                <w:rFonts w:ascii="仿宋" w:eastAsia="仿宋" w:hAnsi="仿宋" w:hint="eastAsia"/>
                <w:color w:val="000000"/>
                <w:kern w:val="2"/>
              </w:rPr>
              <w:t>分统一</w:t>
            </w:r>
            <w:proofErr w:type="gramEnd"/>
            <w:r>
              <w:rPr>
                <w:rFonts w:ascii="仿宋" w:eastAsia="仿宋" w:hAnsi="仿宋" w:hint="eastAsia"/>
                <w:color w:val="000000"/>
                <w:kern w:val="2"/>
              </w:rPr>
              <w:t>按照下列公式计算：磋商报价得分=（磋商基准价/最后磋商报价）×20</w:t>
            </w:r>
          </w:p>
          <w:p w:rsidR="00FD2813" w:rsidRDefault="00FD2813">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注:评标委员会认为投标人的报价明显低于其他通过符合性审查投标人的报价,有可能影响产品质量或者不能诚信履约的，应当要求其在评标现证明材料；投标人不能证明其报价合理性的，评标委员会应当将其作为无效投标处理。</w:t>
            </w:r>
          </w:p>
        </w:tc>
      </w:tr>
      <w:tr w:rsidR="00FD2813" w:rsidTr="00FD2813">
        <w:trPr>
          <w:trHeight w:val="1145"/>
        </w:trPr>
        <w:tc>
          <w:tcPr>
            <w:tcW w:w="319" w:type="dxa"/>
            <w:vMerge w:val="restart"/>
            <w:tcBorders>
              <w:top w:val="nil"/>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2</w:t>
            </w:r>
          </w:p>
        </w:tc>
        <w:tc>
          <w:tcPr>
            <w:tcW w:w="786" w:type="dxa"/>
            <w:vMerge w:val="restart"/>
            <w:tcBorders>
              <w:top w:val="nil"/>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ind w:leftChars="-49" w:left="-103" w:rightChars="-49" w:right="-103"/>
              <w:rPr>
                <w:rFonts w:ascii="仿宋" w:eastAsia="仿宋" w:hAnsi="仿宋"/>
                <w:color w:val="000000"/>
                <w:sz w:val="24"/>
                <w:szCs w:val="24"/>
              </w:rPr>
            </w:pPr>
            <w:r>
              <w:rPr>
                <w:rFonts w:ascii="仿宋" w:eastAsia="仿宋" w:hAnsi="仿宋" w:hint="eastAsia"/>
                <w:color w:val="000000"/>
                <w:sz w:val="24"/>
                <w:szCs w:val="24"/>
              </w:rPr>
              <w:t>技术</w:t>
            </w:r>
          </w:p>
          <w:p w:rsidR="00FD2813" w:rsidRDefault="00FD2813">
            <w:pPr>
              <w:snapToGrid w:val="0"/>
              <w:spacing w:line="360" w:lineRule="exact"/>
              <w:ind w:leftChars="-49" w:left="-103" w:rightChars="-49" w:right="-103"/>
              <w:rPr>
                <w:rFonts w:ascii="仿宋" w:eastAsia="仿宋" w:hAnsi="仿宋" w:hint="eastAsia"/>
                <w:color w:val="000000"/>
                <w:sz w:val="24"/>
                <w:szCs w:val="24"/>
              </w:rPr>
            </w:pPr>
            <w:r>
              <w:rPr>
                <w:rFonts w:ascii="仿宋" w:eastAsia="仿宋" w:hAnsi="仿宋" w:hint="eastAsia"/>
                <w:color w:val="000000"/>
                <w:sz w:val="24"/>
                <w:szCs w:val="24"/>
              </w:rPr>
              <w:t>服务</w:t>
            </w:r>
          </w:p>
          <w:p w:rsidR="00FD2813" w:rsidRDefault="00FD2813">
            <w:pPr>
              <w:snapToGrid w:val="0"/>
              <w:spacing w:line="360" w:lineRule="exact"/>
              <w:ind w:leftChars="-49" w:left="-103" w:rightChars="-49" w:right="-103"/>
              <w:rPr>
                <w:rFonts w:ascii="仿宋" w:eastAsia="仿宋" w:hAnsi="仿宋"/>
                <w:color w:val="000000"/>
                <w:sz w:val="24"/>
                <w:szCs w:val="24"/>
              </w:rPr>
            </w:pPr>
            <w:r>
              <w:rPr>
                <w:rFonts w:ascii="仿宋" w:eastAsia="仿宋" w:hAnsi="仿宋" w:hint="eastAsia"/>
                <w:color w:val="000000"/>
                <w:sz w:val="24"/>
                <w:szCs w:val="24"/>
              </w:rPr>
              <w:t>40分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项目实施方案</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20分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投标人提供对该项目实施方案 (包括但不限于审计难点重点、审计内容、审计工作流程、审计措施、审计进度等方面) 进行综合评分。方案完善、措施明确、思路流程清晰的计20 分；缺漏项的每处扣4分；欠完善详细、欠科学合理、欠实际的每处扣 2 分。未提供的不计分。</w:t>
            </w:r>
          </w:p>
        </w:tc>
      </w:tr>
      <w:tr w:rsidR="00FD2813" w:rsidTr="00FD2813">
        <w:trPr>
          <w:trHeight w:val="1145"/>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审计报告质量</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10分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提供高校经济责任审计报告一份（基于保密要求，可隐藏被审计单位名称、数据、发现问题具体内容等相关信息），格式规范，要素齐全的计10分；格式欠规范，要素不齐全的每处扣2.5分。未提供的不计分。</w:t>
            </w:r>
          </w:p>
        </w:tc>
      </w:tr>
      <w:tr w:rsidR="00FD2813" w:rsidTr="00FD2813">
        <w:trPr>
          <w:trHeight w:val="1145"/>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内部控制制度</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5分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根据投标人提供的内控制度（包括但不限于审计质量控制制度、廉洁风险控制制度、财务管理制度、档案管理制度、保密管理制度等方面）进行综合评分。制度完善详细、科学合理、结合工作实际制的计 5分；缺漏项的每处扣1分；欠完善详细、欠科学合理、欠实际的每处扣 0.5分。未提供的不计分。</w:t>
            </w:r>
          </w:p>
        </w:tc>
      </w:tr>
      <w:tr w:rsidR="00FD2813" w:rsidTr="00FD2813">
        <w:trPr>
          <w:trHeight w:val="870"/>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服务保障措施</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5分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根据投标人提供对该项目保障性措施进行综合评分。（包括不限于审计保障措施、未达到审计质量或未如期出具审计报告的补救方案与措施）。措施科学合理、分工明确、全面细致的，计5分；缺漏项的每处扣2.5分；欠完善详细、欠科学合理、欠实际的每处扣1分。未提供的不计分。</w:t>
            </w:r>
          </w:p>
        </w:tc>
      </w:tr>
      <w:tr w:rsidR="00FD2813" w:rsidTr="00FD2813">
        <w:trPr>
          <w:trHeight w:val="1045"/>
        </w:trPr>
        <w:tc>
          <w:tcPr>
            <w:tcW w:w="319" w:type="dxa"/>
            <w:vMerge w:val="restart"/>
            <w:tcBorders>
              <w:top w:val="nil"/>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3</w:t>
            </w:r>
          </w:p>
        </w:tc>
        <w:tc>
          <w:tcPr>
            <w:tcW w:w="786" w:type="dxa"/>
            <w:vMerge w:val="restart"/>
            <w:tcBorders>
              <w:top w:val="nil"/>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商务服务40分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类似</w:t>
            </w:r>
          </w:p>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业绩</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20分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pacing w:line="360" w:lineRule="auto"/>
              <w:rPr>
                <w:rFonts w:ascii="仿宋" w:eastAsia="仿宋" w:hAnsi="仿宋"/>
                <w:color w:val="000000"/>
                <w:sz w:val="24"/>
                <w:szCs w:val="24"/>
              </w:rPr>
            </w:pPr>
            <w:r>
              <w:rPr>
                <w:rFonts w:ascii="仿宋" w:eastAsia="仿宋" w:hAnsi="仿宋" w:hint="eastAsia"/>
                <w:color w:val="000000"/>
                <w:sz w:val="24"/>
                <w:szCs w:val="24"/>
              </w:rPr>
              <w:t>投标人每提供一个2021年6月以来的高校经济责任审计业绩，每1项计6分；每提供一个2021年6月以来</w:t>
            </w:r>
            <w:r>
              <w:rPr>
                <w:rFonts w:ascii="仿宋" w:eastAsia="仿宋" w:hAnsi="仿宋" w:cs="宋体" w:hint="eastAsia"/>
                <w:sz w:val="24"/>
                <w:szCs w:val="24"/>
              </w:rPr>
              <w:t>其他类型单位经济责任审计业绩，每1项计3分；</w:t>
            </w:r>
            <w:r>
              <w:rPr>
                <w:rFonts w:ascii="仿宋" w:eastAsia="仿宋" w:hAnsi="仿宋" w:hint="eastAsia"/>
                <w:color w:val="000000"/>
                <w:sz w:val="24"/>
                <w:szCs w:val="24"/>
              </w:rPr>
              <w:t>其中2021年6月以来的高校经济责任审计业绩不得少于2个，</w:t>
            </w:r>
            <w:r>
              <w:rPr>
                <w:rFonts w:ascii="仿宋" w:eastAsia="仿宋" w:hAnsi="仿宋" w:cs="宋体" w:hint="eastAsia"/>
                <w:sz w:val="24"/>
                <w:szCs w:val="24"/>
              </w:rPr>
              <w:t>业绩分</w:t>
            </w:r>
            <w:r>
              <w:rPr>
                <w:rFonts w:ascii="仿宋" w:eastAsia="仿宋" w:hAnsi="仿宋" w:hint="eastAsia"/>
                <w:color w:val="000000"/>
                <w:sz w:val="24"/>
                <w:szCs w:val="24"/>
              </w:rPr>
              <w:t>最高计20分。（注：提供业绩合同和报告复印件并加盖公章，否则不予计分。）</w:t>
            </w:r>
          </w:p>
        </w:tc>
      </w:tr>
      <w:tr w:rsidR="00FD2813" w:rsidTr="00FD2813">
        <w:trPr>
          <w:trHeight w:val="1410"/>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人员</w:t>
            </w:r>
          </w:p>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配备</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10分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拟配备的服务团队成员中，</w:t>
            </w:r>
            <w:proofErr w:type="gramStart"/>
            <w:r>
              <w:rPr>
                <w:rFonts w:ascii="仿宋" w:eastAsia="仿宋" w:hAnsi="仿宋" w:hint="eastAsia"/>
                <w:color w:val="000000"/>
                <w:sz w:val="24"/>
                <w:szCs w:val="24"/>
              </w:rPr>
              <w:t>除项目</w:t>
            </w:r>
            <w:proofErr w:type="gramEnd"/>
            <w:r>
              <w:rPr>
                <w:rFonts w:ascii="仿宋" w:eastAsia="仿宋" w:hAnsi="仿宋" w:hint="eastAsia"/>
                <w:color w:val="000000"/>
                <w:sz w:val="24"/>
                <w:szCs w:val="24"/>
              </w:rPr>
              <w:t>负责人以外，每增加一名注册会计师或财务类、审计类中级以上职称的，计2分，本项最多计10分。（投标文件中须提供相关证书复印件及人员在投标单位近三个月的</w:t>
            </w:r>
            <w:proofErr w:type="gramStart"/>
            <w:r>
              <w:rPr>
                <w:rFonts w:ascii="仿宋" w:eastAsia="仿宋" w:hAnsi="仿宋" w:hint="eastAsia"/>
                <w:color w:val="000000"/>
                <w:sz w:val="24"/>
                <w:szCs w:val="24"/>
              </w:rPr>
              <w:t>社保证明</w:t>
            </w:r>
            <w:proofErr w:type="gramEnd"/>
            <w:r>
              <w:rPr>
                <w:rFonts w:ascii="仿宋" w:eastAsia="仿宋" w:hAnsi="仿宋" w:hint="eastAsia"/>
                <w:color w:val="000000"/>
                <w:sz w:val="24"/>
                <w:szCs w:val="24"/>
              </w:rPr>
              <w:t>，否则不计分。）</w:t>
            </w:r>
          </w:p>
        </w:tc>
      </w:tr>
      <w:tr w:rsidR="00FD2813" w:rsidTr="00FD2813">
        <w:trPr>
          <w:trHeight w:val="1410"/>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服务</w:t>
            </w:r>
          </w:p>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承诺</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6分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1.服从发包人的工作安排，提供基本质量保证方面的承诺（包括但不限于投入的专业人员数量、完成专项任务时间、质量保证措施等方面）；2.提供后续服务咨询和增值服务承诺3.审计任务完成后，提供与后续跟进单位的工作衔接、业务交流、资料共享等承诺。每1项计2分。未提供的不计分</w:t>
            </w:r>
          </w:p>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（投标人必须提供相关制度说明材料复印件及相关承诺资料并加盖投标人单位公章，格式自拟，否则不计分。）</w:t>
            </w:r>
          </w:p>
        </w:tc>
      </w:tr>
      <w:tr w:rsidR="00FD2813" w:rsidTr="00FD2813">
        <w:trPr>
          <w:trHeight w:val="1410"/>
        </w:trPr>
        <w:tc>
          <w:tcPr>
            <w:tcW w:w="319"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FD2813" w:rsidRDefault="00FD2813">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投标文件格式</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4分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2813" w:rsidRDefault="00FD2813">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投标文件按招标文件规定的格式顺序编制、有目录、编页码、胶装成册，计4分。符合要求计4分。不符合要求的，每处扣1分。</w:t>
            </w:r>
          </w:p>
        </w:tc>
      </w:tr>
    </w:tbl>
    <w:p w:rsidR="00FD2813" w:rsidRDefault="00FD2813" w:rsidP="00FD2813">
      <w:pPr>
        <w:snapToGrid w:val="0"/>
        <w:spacing w:line="560" w:lineRule="exact"/>
        <w:ind w:firstLineChars="400" w:firstLine="1124"/>
        <w:rPr>
          <w:rFonts w:ascii="宋体" w:hAnsi="宋体" w:hint="eastAsia"/>
          <w:b/>
          <w:bCs/>
          <w:color w:val="000000"/>
          <w:sz w:val="28"/>
          <w:szCs w:val="28"/>
        </w:rPr>
      </w:pPr>
      <w:r>
        <w:rPr>
          <w:rFonts w:ascii="宋体" w:hAnsi="宋体" w:hint="eastAsia"/>
          <w:b/>
          <w:bCs/>
          <w:color w:val="000000"/>
          <w:sz w:val="28"/>
          <w:szCs w:val="28"/>
        </w:rPr>
        <w:t xml:space="preserve"> </w:t>
      </w:r>
    </w:p>
    <w:p w:rsidR="00FD2813" w:rsidRDefault="00FD2813" w:rsidP="00FD2813">
      <w:pPr>
        <w:snapToGrid w:val="0"/>
        <w:spacing w:line="560" w:lineRule="exact"/>
        <w:ind w:firstLineChars="400" w:firstLine="1124"/>
        <w:rPr>
          <w:rFonts w:ascii="宋体" w:hAnsi="宋体" w:hint="eastAsia"/>
          <w:b/>
          <w:bCs/>
          <w:color w:val="000000"/>
          <w:sz w:val="28"/>
          <w:szCs w:val="28"/>
        </w:rPr>
      </w:pPr>
      <w:r>
        <w:rPr>
          <w:rFonts w:ascii="宋体" w:hAnsi="宋体" w:hint="eastAsia"/>
          <w:b/>
          <w:bCs/>
          <w:color w:val="000000"/>
          <w:sz w:val="28"/>
          <w:szCs w:val="28"/>
        </w:rPr>
        <w:t xml:space="preserve"> </w:t>
      </w:r>
    </w:p>
    <w:p w:rsidR="00FD2813" w:rsidRDefault="00FD2813" w:rsidP="00FD2813">
      <w:pPr>
        <w:snapToGrid w:val="0"/>
        <w:spacing w:line="560" w:lineRule="exact"/>
        <w:ind w:firstLineChars="400" w:firstLine="1124"/>
        <w:rPr>
          <w:rFonts w:ascii="宋体" w:hAnsi="宋体" w:hint="eastAsia"/>
          <w:b/>
          <w:bCs/>
          <w:color w:val="000000"/>
          <w:sz w:val="28"/>
          <w:szCs w:val="28"/>
        </w:rPr>
      </w:pPr>
      <w:r>
        <w:rPr>
          <w:rFonts w:ascii="宋体" w:hAnsi="宋体" w:hint="eastAsia"/>
          <w:b/>
          <w:bCs/>
          <w:color w:val="000000"/>
          <w:sz w:val="28"/>
          <w:szCs w:val="28"/>
        </w:rPr>
        <w:t xml:space="preserve"> </w:t>
      </w:r>
    </w:p>
    <w:p w:rsidR="00FD2813" w:rsidRDefault="00FD2813" w:rsidP="00FD2813">
      <w:pPr>
        <w:snapToGrid w:val="0"/>
        <w:spacing w:line="560" w:lineRule="exact"/>
        <w:ind w:firstLineChars="400" w:firstLine="1124"/>
        <w:rPr>
          <w:rFonts w:ascii="宋体" w:hAnsi="宋体" w:hint="eastAsia"/>
          <w:b/>
          <w:bCs/>
          <w:color w:val="000000"/>
          <w:sz w:val="28"/>
          <w:szCs w:val="28"/>
        </w:rPr>
      </w:pPr>
      <w:r>
        <w:rPr>
          <w:rFonts w:ascii="宋体" w:hAnsi="宋体" w:hint="eastAsia"/>
          <w:b/>
          <w:bCs/>
          <w:color w:val="000000"/>
          <w:sz w:val="28"/>
          <w:szCs w:val="28"/>
        </w:rPr>
        <w:t xml:space="preserve"> </w:t>
      </w:r>
    </w:p>
    <w:p w:rsidR="000F19C5" w:rsidRPr="00FD2813" w:rsidRDefault="000F19C5"/>
    <w:sectPr w:rsidR="000F19C5" w:rsidRPr="00FD2813" w:rsidSect="000F1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813"/>
    <w:rsid w:val="000F19C5"/>
    <w:rsid w:val="00FD2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rsid w:val="00FD2813"/>
    <w:pPr>
      <w:spacing w:before="100" w:beforeAutospacing="1" w:after="120"/>
    </w:pPr>
  </w:style>
  <w:style w:type="character" w:customStyle="1" w:styleId="Char">
    <w:name w:val="正文文本 Char"/>
    <w:basedOn w:val="a0"/>
    <w:link w:val="a3"/>
    <w:uiPriority w:val="99"/>
    <w:rsid w:val="00FD2813"/>
    <w:rPr>
      <w:rFonts w:ascii="Times New Roman" w:eastAsia="宋体" w:hAnsi="Times New Roman" w:cs="Times New Roman"/>
      <w:szCs w:val="21"/>
    </w:rPr>
  </w:style>
  <w:style w:type="paragraph" w:customStyle="1" w:styleId="Normal8">
    <w:name w:val="Normal_8"/>
    <w:basedOn w:val="a"/>
    <w:rsid w:val="00FD2813"/>
    <w:pPr>
      <w:widowControl/>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15770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2024-07-12T02:09:00Z</dcterms:created>
  <dcterms:modified xsi:type="dcterms:W3CDTF">2024-07-12T02:09:00Z</dcterms:modified>
</cp:coreProperties>
</file>