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DD" w:rsidRDefault="008A75DD" w:rsidP="008A75DD">
      <w:pPr>
        <w:pStyle w:val="a3"/>
        <w:ind w:firstLineChars="1000" w:firstLine="3213"/>
        <w:rPr>
          <w:rFonts w:ascii="宋体" w:hAnsi="宋体"/>
          <w:sz w:val="32"/>
          <w:szCs w:val="32"/>
        </w:rPr>
      </w:pPr>
      <w:r>
        <w:rPr>
          <w:rFonts w:ascii="宋体" w:hAnsi="宋体" w:hint="eastAsia"/>
          <w:b/>
          <w:bCs/>
          <w:sz w:val="32"/>
          <w:szCs w:val="32"/>
        </w:rPr>
        <w:t>评审因素和标准</w:t>
      </w:r>
    </w:p>
    <w:tbl>
      <w:tblPr>
        <w:tblW w:w="5701"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786"/>
        <w:gridCol w:w="764"/>
        <w:gridCol w:w="506"/>
        <w:gridCol w:w="7343"/>
      </w:tblGrid>
      <w:tr w:rsidR="008A75DD" w:rsidTr="008A75DD">
        <w:trPr>
          <w:trHeight w:val="1977"/>
        </w:trPr>
        <w:tc>
          <w:tcPr>
            <w:tcW w:w="319" w:type="dxa"/>
            <w:tcBorders>
              <w:top w:val="single" w:sz="4" w:space="0" w:color="auto"/>
              <w:left w:val="single" w:sz="4" w:space="0" w:color="auto"/>
              <w:bottom w:val="single" w:sz="4" w:space="0" w:color="auto"/>
              <w:right w:val="single" w:sz="4" w:space="0" w:color="auto"/>
            </w:tcBorders>
            <w:vAlign w:val="center"/>
            <w:hideMark/>
          </w:tcPr>
          <w:p w:rsidR="008A75DD" w:rsidRDefault="008A75DD">
            <w:pPr>
              <w:snapToGrid w:val="0"/>
              <w:spacing w:line="360" w:lineRule="exact"/>
              <w:rPr>
                <w:rFonts w:ascii="仿宋" w:eastAsia="仿宋" w:hAnsi="仿宋"/>
                <w:color w:val="000000"/>
                <w:sz w:val="28"/>
                <w:szCs w:val="28"/>
              </w:rPr>
            </w:pPr>
            <w:r>
              <w:rPr>
                <w:rFonts w:ascii="仿宋" w:eastAsia="仿宋" w:hAnsi="仿宋" w:hint="eastAsia"/>
                <w:color w:val="000000"/>
                <w:sz w:val="28"/>
                <w:szCs w:val="28"/>
              </w:rPr>
              <w:t>1</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pStyle w:val="Normal8"/>
              <w:snapToGrid w:val="0"/>
              <w:spacing w:line="360" w:lineRule="exact"/>
              <w:jc w:val="both"/>
              <w:rPr>
                <w:rFonts w:ascii="仿宋" w:eastAsia="仿宋" w:hAnsi="仿宋"/>
                <w:color w:val="000000"/>
              </w:rPr>
            </w:pPr>
            <w:r>
              <w:rPr>
                <w:rFonts w:ascii="仿宋" w:eastAsia="仿宋" w:hAnsi="仿宋" w:hint="eastAsia"/>
                <w:color w:val="000000"/>
                <w:kern w:val="2"/>
              </w:rPr>
              <w:t>报价  20分</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rsidR="008A75DD" w:rsidRDefault="008A75DD">
            <w:pPr>
              <w:pStyle w:val="Normal8"/>
              <w:snapToGrid w:val="0"/>
              <w:spacing w:line="360" w:lineRule="exact"/>
              <w:jc w:val="both"/>
              <w:rPr>
                <w:rFonts w:ascii="仿宋" w:eastAsia="仿宋" w:hAnsi="仿宋"/>
                <w:color w:val="000000"/>
                <w:kern w:val="2"/>
              </w:rPr>
            </w:pP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ind w:rightChars="-49" w:right="-103"/>
              <w:rPr>
                <w:rFonts w:ascii="仿宋" w:eastAsia="仿宋" w:hAnsi="仿宋"/>
                <w:color w:val="000000"/>
                <w:sz w:val="24"/>
                <w:szCs w:val="24"/>
              </w:rPr>
            </w:pPr>
            <w:r>
              <w:rPr>
                <w:rFonts w:ascii="仿宋" w:eastAsia="仿宋" w:hAnsi="仿宋" w:hint="eastAsia"/>
                <w:color w:val="000000"/>
                <w:sz w:val="24"/>
                <w:szCs w:val="24"/>
              </w:rPr>
              <w:t>20</w:t>
            </w:r>
          </w:p>
          <w:p w:rsidR="008A75DD" w:rsidRDefault="008A75DD">
            <w:pPr>
              <w:snapToGrid w:val="0"/>
              <w:spacing w:line="360" w:lineRule="exact"/>
              <w:ind w:rightChars="-49" w:right="-103"/>
              <w:rPr>
                <w:rFonts w:ascii="仿宋" w:eastAsia="仿宋" w:hAnsi="仿宋"/>
                <w:color w:val="000000"/>
                <w:sz w:val="24"/>
                <w:szCs w:val="24"/>
              </w:rPr>
            </w:pPr>
            <w:r>
              <w:rPr>
                <w:rFonts w:ascii="仿宋" w:eastAsia="仿宋" w:hAnsi="仿宋" w:hint="eastAsia"/>
                <w:color w:val="000000"/>
                <w:sz w:val="24"/>
                <w:szCs w:val="24"/>
              </w:rPr>
              <w:t>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pStyle w:val="Normal8"/>
              <w:snapToGrid w:val="0"/>
              <w:spacing w:line="360" w:lineRule="exact"/>
              <w:jc w:val="both"/>
              <w:rPr>
                <w:rFonts w:ascii="仿宋" w:eastAsia="仿宋" w:hAnsi="仿宋"/>
                <w:color w:val="000000"/>
                <w:kern w:val="2"/>
              </w:rPr>
            </w:pPr>
            <w:r>
              <w:rPr>
                <w:rFonts w:ascii="仿宋" w:eastAsia="仿宋" w:hAnsi="仿宋" w:hint="eastAsia"/>
                <w:color w:val="000000"/>
                <w:kern w:val="2"/>
              </w:rPr>
              <w:t>满足磋商文件要求且最后报价最低的供应商的价格为磋商基准价，其价格分为满分。其他供应商的价格</w:t>
            </w:r>
            <w:proofErr w:type="gramStart"/>
            <w:r>
              <w:rPr>
                <w:rFonts w:ascii="仿宋" w:eastAsia="仿宋" w:hAnsi="仿宋" w:hint="eastAsia"/>
                <w:color w:val="000000"/>
                <w:kern w:val="2"/>
              </w:rPr>
              <w:t>分统一</w:t>
            </w:r>
            <w:proofErr w:type="gramEnd"/>
            <w:r>
              <w:rPr>
                <w:rFonts w:ascii="仿宋" w:eastAsia="仿宋" w:hAnsi="仿宋" w:hint="eastAsia"/>
                <w:color w:val="000000"/>
                <w:kern w:val="2"/>
              </w:rPr>
              <w:t>按照下列公式计算：磋商报价得分=（磋商基准价/最后磋商报价）×20</w:t>
            </w:r>
          </w:p>
          <w:p w:rsidR="008A75DD" w:rsidRDefault="008A75DD">
            <w:pPr>
              <w:pStyle w:val="Normal8"/>
              <w:snapToGrid w:val="0"/>
              <w:spacing w:line="360" w:lineRule="exact"/>
              <w:jc w:val="both"/>
              <w:rPr>
                <w:rFonts w:ascii="仿宋" w:eastAsia="仿宋" w:hAnsi="仿宋"/>
                <w:color w:val="000000"/>
                <w:kern w:val="2"/>
              </w:rPr>
            </w:pPr>
            <w:r>
              <w:rPr>
                <w:rFonts w:ascii="仿宋" w:eastAsia="仿宋" w:hAnsi="仿宋" w:hint="eastAsia"/>
                <w:color w:val="000000"/>
                <w:kern w:val="2"/>
              </w:rPr>
              <w:t>注:评标委员会认为投标人的报价明显低于其他通过符合性审查投标人的报价,有可能影响产品质量或者不能诚信履约的，应当要求其在评标现证明材料；投标人不能证明其报价合理性的，评标委员会应当将其作为无效投标处理。</w:t>
            </w:r>
          </w:p>
        </w:tc>
      </w:tr>
      <w:tr w:rsidR="008A75DD" w:rsidTr="008A75DD">
        <w:trPr>
          <w:trHeight w:val="1145"/>
        </w:trPr>
        <w:tc>
          <w:tcPr>
            <w:tcW w:w="319" w:type="dxa"/>
            <w:vMerge w:val="restart"/>
            <w:tcBorders>
              <w:top w:val="nil"/>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8"/>
                <w:szCs w:val="28"/>
              </w:rPr>
            </w:pPr>
            <w:r>
              <w:rPr>
                <w:rFonts w:ascii="仿宋" w:eastAsia="仿宋" w:hAnsi="仿宋" w:hint="eastAsia"/>
                <w:color w:val="000000"/>
                <w:sz w:val="28"/>
                <w:szCs w:val="28"/>
              </w:rPr>
              <w:t>2</w:t>
            </w:r>
          </w:p>
        </w:tc>
        <w:tc>
          <w:tcPr>
            <w:tcW w:w="786" w:type="dxa"/>
            <w:vMerge w:val="restart"/>
            <w:tcBorders>
              <w:top w:val="nil"/>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ind w:leftChars="-49" w:left="-103" w:rightChars="-49" w:right="-103"/>
              <w:rPr>
                <w:rFonts w:ascii="仿宋" w:eastAsia="仿宋" w:hAnsi="仿宋"/>
                <w:color w:val="000000"/>
                <w:sz w:val="24"/>
                <w:szCs w:val="24"/>
              </w:rPr>
            </w:pPr>
            <w:r>
              <w:rPr>
                <w:rFonts w:ascii="仿宋" w:eastAsia="仿宋" w:hAnsi="仿宋" w:hint="eastAsia"/>
                <w:color w:val="000000"/>
                <w:sz w:val="24"/>
                <w:szCs w:val="24"/>
              </w:rPr>
              <w:t>技术</w:t>
            </w:r>
          </w:p>
          <w:p w:rsidR="008A75DD" w:rsidRDefault="008A75DD">
            <w:pPr>
              <w:snapToGrid w:val="0"/>
              <w:spacing w:line="360" w:lineRule="exact"/>
              <w:ind w:leftChars="-49" w:left="-103" w:rightChars="-49" w:right="-103"/>
              <w:rPr>
                <w:rFonts w:ascii="仿宋" w:eastAsia="仿宋" w:hAnsi="仿宋" w:hint="eastAsia"/>
                <w:color w:val="000000"/>
                <w:sz w:val="24"/>
                <w:szCs w:val="24"/>
              </w:rPr>
            </w:pPr>
            <w:r>
              <w:rPr>
                <w:rFonts w:ascii="仿宋" w:eastAsia="仿宋" w:hAnsi="仿宋" w:hint="eastAsia"/>
                <w:color w:val="000000"/>
                <w:sz w:val="24"/>
                <w:szCs w:val="24"/>
              </w:rPr>
              <w:t>服务</w:t>
            </w:r>
          </w:p>
          <w:p w:rsidR="008A75DD" w:rsidRDefault="008A75DD">
            <w:pPr>
              <w:snapToGrid w:val="0"/>
              <w:spacing w:line="360" w:lineRule="exact"/>
              <w:ind w:leftChars="-49" w:left="-103" w:rightChars="-49" w:right="-103"/>
              <w:rPr>
                <w:rFonts w:ascii="仿宋" w:eastAsia="仿宋" w:hAnsi="仿宋"/>
                <w:color w:val="000000"/>
                <w:sz w:val="24"/>
                <w:szCs w:val="24"/>
              </w:rPr>
            </w:pPr>
            <w:r>
              <w:rPr>
                <w:rFonts w:ascii="仿宋" w:eastAsia="仿宋" w:hAnsi="仿宋" w:hint="eastAsia"/>
                <w:color w:val="000000"/>
                <w:sz w:val="24"/>
                <w:szCs w:val="24"/>
              </w:rPr>
              <w:t>50分</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项目实施方案</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30分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投标人提供对该项目实施方案 (包括但不限于审计难点重点、审计内容、审计工作流程、审计措施、审计进度等方面) 进行综合评分。方案完善、措施明确、思路流程清晰的计30 分；缺漏项的每处扣6分；欠完善详细、欠科学合理、欠实际的每处扣 3 分。未提供的不计分。</w:t>
            </w:r>
          </w:p>
        </w:tc>
      </w:tr>
      <w:tr w:rsidR="008A75DD" w:rsidTr="008A75DD">
        <w:trPr>
          <w:trHeight w:val="1145"/>
        </w:trPr>
        <w:tc>
          <w:tcPr>
            <w:tcW w:w="319" w:type="dxa"/>
            <w:vMerge/>
            <w:tcBorders>
              <w:top w:val="nil"/>
              <w:left w:val="single" w:sz="4" w:space="0" w:color="auto"/>
              <w:bottom w:val="single" w:sz="4" w:space="0" w:color="auto"/>
              <w:right w:val="single" w:sz="4" w:space="0" w:color="auto"/>
            </w:tcBorders>
            <w:vAlign w:val="center"/>
            <w:hideMark/>
          </w:tcPr>
          <w:p w:rsidR="008A75DD" w:rsidRDefault="008A75DD">
            <w:pPr>
              <w:widowControl/>
              <w:jc w:val="left"/>
              <w:rPr>
                <w:rFonts w:ascii="仿宋" w:eastAsia="仿宋" w:hAnsi="仿宋"/>
                <w:color w:val="000000"/>
                <w:sz w:val="28"/>
                <w:szCs w:val="28"/>
              </w:rPr>
            </w:pPr>
          </w:p>
        </w:tc>
        <w:tc>
          <w:tcPr>
            <w:tcW w:w="786" w:type="dxa"/>
            <w:vMerge/>
            <w:tcBorders>
              <w:top w:val="nil"/>
              <w:left w:val="single" w:sz="4" w:space="0" w:color="auto"/>
              <w:bottom w:val="single" w:sz="4" w:space="0" w:color="auto"/>
              <w:right w:val="single" w:sz="4" w:space="0" w:color="auto"/>
            </w:tcBorders>
            <w:vAlign w:val="center"/>
            <w:hideMark/>
          </w:tcPr>
          <w:p w:rsidR="008A75DD" w:rsidRDefault="008A75DD">
            <w:pPr>
              <w:widowControl/>
              <w:jc w:val="left"/>
              <w:rPr>
                <w:rFonts w:ascii="仿宋" w:eastAsia="仿宋" w:hAnsi="仿宋"/>
                <w:color w:val="000000"/>
                <w:sz w:val="24"/>
                <w:szCs w:val="24"/>
              </w:rPr>
            </w:pP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审计报告质量</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10分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投标人提供高校经济责任审计报告一份（基于保密要求，可隐藏被审计单位名称、数据、发现问题具体内容等相关信息），格式规范，要素齐全的计10分；格式欠规范，要素不齐全的每处扣2.5分。未提供的不计分。</w:t>
            </w:r>
          </w:p>
        </w:tc>
      </w:tr>
      <w:tr w:rsidR="008A75DD" w:rsidTr="008A75DD">
        <w:trPr>
          <w:trHeight w:val="1145"/>
        </w:trPr>
        <w:tc>
          <w:tcPr>
            <w:tcW w:w="319" w:type="dxa"/>
            <w:vMerge/>
            <w:tcBorders>
              <w:top w:val="nil"/>
              <w:left w:val="single" w:sz="4" w:space="0" w:color="auto"/>
              <w:bottom w:val="single" w:sz="4" w:space="0" w:color="auto"/>
              <w:right w:val="single" w:sz="4" w:space="0" w:color="auto"/>
            </w:tcBorders>
            <w:vAlign w:val="center"/>
            <w:hideMark/>
          </w:tcPr>
          <w:p w:rsidR="008A75DD" w:rsidRDefault="008A75DD">
            <w:pPr>
              <w:widowControl/>
              <w:jc w:val="left"/>
              <w:rPr>
                <w:rFonts w:ascii="仿宋" w:eastAsia="仿宋" w:hAnsi="仿宋"/>
                <w:color w:val="000000"/>
                <w:sz w:val="28"/>
                <w:szCs w:val="28"/>
              </w:rPr>
            </w:pPr>
          </w:p>
        </w:tc>
        <w:tc>
          <w:tcPr>
            <w:tcW w:w="786" w:type="dxa"/>
            <w:vMerge/>
            <w:tcBorders>
              <w:top w:val="nil"/>
              <w:left w:val="single" w:sz="4" w:space="0" w:color="auto"/>
              <w:bottom w:val="single" w:sz="4" w:space="0" w:color="auto"/>
              <w:right w:val="single" w:sz="4" w:space="0" w:color="auto"/>
            </w:tcBorders>
            <w:vAlign w:val="center"/>
            <w:hideMark/>
          </w:tcPr>
          <w:p w:rsidR="008A75DD" w:rsidRDefault="008A75DD">
            <w:pPr>
              <w:widowControl/>
              <w:jc w:val="left"/>
              <w:rPr>
                <w:rFonts w:ascii="仿宋" w:eastAsia="仿宋" w:hAnsi="仿宋"/>
                <w:color w:val="000000"/>
                <w:sz w:val="24"/>
                <w:szCs w:val="24"/>
              </w:rPr>
            </w:pP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内部控制制度</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5分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根据投标人提供的内控制度（包括但不限于审计质量控制制度、廉洁风险控制制度、财务管理制度、档案管理制度、保密管理制度等方面）进行综合评分。制度完善详细、科学合理、结合工作实际制的计 5分；缺漏项的每处扣1分；欠完善详细、欠科学合理、欠实际的每处扣 0.5分。未提供的不计分。</w:t>
            </w:r>
          </w:p>
        </w:tc>
      </w:tr>
      <w:tr w:rsidR="008A75DD" w:rsidTr="008A75DD">
        <w:trPr>
          <w:trHeight w:val="870"/>
        </w:trPr>
        <w:tc>
          <w:tcPr>
            <w:tcW w:w="319" w:type="dxa"/>
            <w:vMerge/>
            <w:tcBorders>
              <w:top w:val="nil"/>
              <w:left w:val="single" w:sz="4" w:space="0" w:color="auto"/>
              <w:bottom w:val="single" w:sz="4" w:space="0" w:color="auto"/>
              <w:right w:val="single" w:sz="4" w:space="0" w:color="auto"/>
            </w:tcBorders>
            <w:vAlign w:val="center"/>
            <w:hideMark/>
          </w:tcPr>
          <w:p w:rsidR="008A75DD" w:rsidRDefault="008A75DD">
            <w:pPr>
              <w:widowControl/>
              <w:jc w:val="left"/>
              <w:rPr>
                <w:rFonts w:ascii="仿宋" w:eastAsia="仿宋" w:hAnsi="仿宋"/>
                <w:color w:val="000000"/>
                <w:sz w:val="28"/>
                <w:szCs w:val="28"/>
              </w:rPr>
            </w:pPr>
          </w:p>
        </w:tc>
        <w:tc>
          <w:tcPr>
            <w:tcW w:w="786" w:type="dxa"/>
            <w:vMerge/>
            <w:tcBorders>
              <w:top w:val="nil"/>
              <w:left w:val="single" w:sz="4" w:space="0" w:color="auto"/>
              <w:bottom w:val="single" w:sz="4" w:space="0" w:color="auto"/>
              <w:right w:val="single" w:sz="4" w:space="0" w:color="auto"/>
            </w:tcBorders>
            <w:vAlign w:val="center"/>
            <w:hideMark/>
          </w:tcPr>
          <w:p w:rsidR="008A75DD" w:rsidRDefault="008A75DD">
            <w:pPr>
              <w:widowControl/>
              <w:jc w:val="left"/>
              <w:rPr>
                <w:rFonts w:ascii="仿宋" w:eastAsia="仿宋" w:hAnsi="仿宋"/>
                <w:color w:val="000000"/>
                <w:sz w:val="24"/>
                <w:szCs w:val="24"/>
              </w:rPr>
            </w:pP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服务保障措施</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5分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根据投标人提供对该项目保障性措施进行综合评分。（包括不限于审计保障措施、未达到审计质量或未如期出具审计报告的补救方案与措施）。措施科学合理、分工明确、全面细致的，计5分；缺漏项的每处扣2.5分；欠完善详细、欠科学合理、欠实际的每处扣1分。未提供的不计分。</w:t>
            </w:r>
          </w:p>
        </w:tc>
      </w:tr>
      <w:tr w:rsidR="008A75DD" w:rsidTr="008A75DD">
        <w:trPr>
          <w:trHeight w:val="1045"/>
        </w:trPr>
        <w:tc>
          <w:tcPr>
            <w:tcW w:w="319" w:type="dxa"/>
            <w:vMerge w:val="restart"/>
            <w:tcBorders>
              <w:top w:val="nil"/>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8"/>
                <w:szCs w:val="28"/>
              </w:rPr>
            </w:pPr>
            <w:r>
              <w:rPr>
                <w:rFonts w:ascii="仿宋" w:eastAsia="仿宋" w:hAnsi="仿宋" w:hint="eastAsia"/>
                <w:color w:val="000000"/>
                <w:sz w:val="28"/>
                <w:szCs w:val="28"/>
              </w:rPr>
              <w:t>3</w:t>
            </w:r>
          </w:p>
        </w:tc>
        <w:tc>
          <w:tcPr>
            <w:tcW w:w="786" w:type="dxa"/>
            <w:vMerge w:val="restart"/>
            <w:tcBorders>
              <w:top w:val="nil"/>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商务服务40分</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类似</w:t>
            </w:r>
          </w:p>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业绩</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20分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pacing w:line="360" w:lineRule="auto"/>
              <w:rPr>
                <w:rFonts w:ascii="仿宋" w:eastAsia="仿宋" w:hAnsi="仿宋"/>
                <w:color w:val="000000"/>
                <w:sz w:val="24"/>
                <w:szCs w:val="24"/>
              </w:rPr>
            </w:pPr>
            <w:r>
              <w:rPr>
                <w:rFonts w:ascii="仿宋" w:eastAsia="仿宋" w:hAnsi="仿宋" w:hint="eastAsia"/>
                <w:color w:val="000000"/>
                <w:sz w:val="24"/>
                <w:szCs w:val="24"/>
              </w:rPr>
              <w:t>投标人每提供一个2021年6月以来的高校经济责任审计业绩，每1项计6分；每提供一个2021年6月以来</w:t>
            </w:r>
            <w:r>
              <w:rPr>
                <w:rFonts w:ascii="仿宋" w:eastAsia="仿宋" w:hAnsi="仿宋" w:cs="宋体" w:hint="eastAsia"/>
                <w:sz w:val="24"/>
                <w:szCs w:val="24"/>
              </w:rPr>
              <w:t>其他类型单位经济责任审计业绩，每1项计3分；</w:t>
            </w:r>
            <w:r>
              <w:rPr>
                <w:rFonts w:ascii="仿宋" w:eastAsia="仿宋" w:hAnsi="仿宋" w:hint="eastAsia"/>
                <w:color w:val="000000"/>
                <w:sz w:val="24"/>
                <w:szCs w:val="24"/>
              </w:rPr>
              <w:t>其中2021年6月以来的高校经济责任审计业绩不得少于2个，</w:t>
            </w:r>
            <w:r>
              <w:rPr>
                <w:rFonts w:ascii="仿宋" w:eastAsia="仿宋" w:hAnsi="仿宋" w:cs="宋体" w:hint="eastAsia"/>
                <w:sz w:val="24"/>
                <w:szCs w:val="24"/>
              </w:rPr>
              <w:t>业绩分</w:t>
            </w:r>
            <w:r>
              <w:rPr>
                <w:rFonts w:ascii="仿宋" w:eastAsia="仿宋" w:hAnsi="仿宋" w:hint="eastAsia"/>
                <w:color w:val="000000"/>
                <w:sz w:val="24"/>
                <w:szCs w:val="24"/>
              </w:rPr>
              <w:t>最高计20分。（注：提供业绩合同和报告复印件并加盖公章，否则不予计分。）</w:t>
            </w:r>
          </w:p>
        </w:tc>
      </w:tr>
      <w:tr w:rsidR="008A75DD" w:rsidTr="008A75DD">
        <w:trPr>
          <w:trHeight w:val="1410"/>
        </w:trPr>
        <w:tc>
          <w:tcPr>
            <w:tcW w:w="319" w:type="dxa"/>
            <w:vMerge/>
            <w:tcBorders>
              <w:top w:val="nil"/>
              <w:left w:val="single" w:sz="4" w:space="0" w:color="auto"/>
              <w:bottom w:val="single" w:sz="4" w:space="0" w:color="auto"/>
              <w:right w:val="single" w:sz="4" w:space="0" w:color="auto"/>
            </w:tcBorders>
            <w:vAlign w:val="center"/>
            <w:hideMark/>
          </w:tcPr>
          <w:p w:rsidR="008A75DD" w:rsidRDefault="008A75DD">
            <w:pPr>
              <w:widowControl/>
              <w:jc w:val="left"/>
              <w:rPr>
                <w:rFonts w:ascii="仿宋" w:eastAsia="仿宋" w:hAnsi="仿宋"/>
                <w:color w:val="000000"/>
                <w:sz w:val="28"/>
                <w:szCs w:val="28"/>
              </w:rPr>
            </w:pPr>
          </w:p>
        </w:tc>
        <w:tc>
          <w:tcPr>
            <w:tcW w:w="786" w:type="dxa"/>
            <w:vMerge/>
            <w:tcBorders>
              <w:top w:val="nil"/>
              <w:left w:val="single" w:sz="4" w:space="0" w:color="auto"/>
              <w:bottom w:val="single" w:sz="4" w:space="0" w:color="auto"/>
              <w:right w:val="single" w:sz="4" w:space="0" w:color="auto"/>
            </w:tcBorders>
            <w:vAlign w:val="center"/>
            <w:hideMark/>
          </w:tcPr>
          <w:p w:rsidR="008A75DD" w:rsidRDefault="008A75DD">
            <w:pPr>
              <w:widowControl/>
              <w:jc w:val="left"/>
              <w:rPr>
                <w:rFonts w:ascii="仿宋" w:eastAsia="仿宋" w:hAnsi="仿宋"/>
                <w:color w:val="000000"/>
                <w:sz w:val="24"/>
                <w:szCs w:val="24"/>
              </w:rPr>
            </w:pP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人员</w:t>
            </w:r>
          </w:p>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配备</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10分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拟配备的服务团队成员中，</w:t>
            </w:r>
            <w:proofErr w:type="gramStart"/>
            <w:r>
              <w:rPr>
                <w:rFonts w:ascii="仿宋" w:eastAsia="仿宋" w:hAnsi="仿宋" w:hint="eastAsia"/>
                <w:color w:val="000000"/>
                <w:sz w:val="24"/>
                <w:szCs w:val="24"/>
              </w:rPr>
              <w:t>除项目</w:t>
            </w:r>
            <w:proofErr w:type="gramEnd"/>
            <w:r>
              <w:rPr>
                <w:rFonts w:ascii="仿宋" w:eastAsia="仿宋" w:hAnsi="仿宋" w:hint="eastAsia"/>
                <w:color w:val="000000"/>
                <w:sz w:val="24"/>
                <w:szCs w:val="24"/>
              </w:rPr>
              <w:t>负责人以外，每增加一名注册会计师或财务类、审计类中级以上职称的，计2分，本项最多计10分。（投标文件中须提供相关证书复印件及人员在投标单位近三个月的</w:t>
            </w:r>
            <w:proofErr w:type="gramStart"/>
            <w:r>
              <w:rPr>
                <w:rFonts w:ascii="仿宋" w:eastAsia="仿宋" w:hAnsi="仿宋" w:hint="eastAsia"/>
                <w:color w:val="000000"/>
                <w:sz w:val="24"/>
                <w:szCs w:val="24"/>
              </w:rPr>
              <w:t>社保证明</w:t>
            </w:r>
            <w:proofErr w:type="gramEnd"/>
            <w:r>
              <w:rPr>
                <w:rFonts w:ascii="仿宋" w:eastAsia="仿宋" w:hAnsi="仿宋" w:hint="eastAsia"/>
                <w:color w:val="000000"/>
                <w:sz w:val="24"/>
                <w:szCs w:val="24"/>
              </w:rPr>
              <w:t>，否则不计分。）</w:t>
            </w:r>
          </w:p>
        </w:tc>
      </w:tr>
      <w:tr w:rsidR="008A75DD" w:rsidTr="008A75DD">
        <w:trPr>
          <w:trHeight w:val="1410"/>
        </w:trPr>
        <w:tc>
          <w:tcPr>
            <w:tcW w:w="319" w:type="dxa"/>
            <w:vMerge/>
            <w:tcBorders>
              <w:top w:val="nil"/>
              <w:left w:val="single" w:sz="4" w:space="0" w:color="auto"/>
              <w:bottom w:val="single" w:sz="4" w:space="0" w:color="auto"/>
              <w:right w:val="single" w:sz="4" w:space="0" w:color="auto"/>
            </w:tcBorders>
            <w:vAlign w:val="center"/>
            <w:hideMark/>
          </w:tcPr>
          <w:p w:rsidR="008A75DD" w:rsidRDefault="008A75DD">
            <w:pPr>
              <w:widowControl/>
              <w:jc w:val="left"/>
              <w:rPr>
                <w:rFonts w:ascii="仿宋" w:eastAsia="仿宋" w:hAnsi="仿宋"/>
                <w:color w:val="000000"/>
                <w:sz w:val="28"/>
                <w:szCs w:val="28"/>
              </w:rPr>
            </w:pPr>
          </w:p>
        </w:tc>
        <w:tc>
          <w:tcPr>
            <w:tcW w:w="786" w:type="dxa"/>
            <w:vMerge/>
            <w:tcBorders>
              <w:top w:val="nil"/>
              <w:left w:val="single" w:sz="4" w:space="0" w:color="auto"/>
              <w:bottom w:val="single" w:sz="4" w:space="0" w:color="auto"/>
              <w:right w:val="single" w:sz="4" w:space="0" w:color="auto"/>
            </w:tcBorders>
            <w:vAlign w:val="center"/>
            <w:hideMark/>
          </w:tcPr>
          <w:p w:rsidR="008A75DD" w:rsidRDefault="008A75DD">
            <w:pPr>
              <w:widowControl/>
              <w:jc w:val="left"/>
              <w:rPr>
                <w:rFonts w:ascii="仿宋" w:eastAsia="仿宋" w:hAnsi="仿宋"/>
                <w:color w:val="000000"/>
                <w:sz w:val="24"/>
                <w:szCs w:val="24"/>
              </w:rPr>
            </w:pP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服务</w:t>
            </w:r>
          </w:p>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承诺</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6分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pStyle w:val="Normal8"/>
              <w:snapToGrid w:val="0"/>
              <w:spacing w:line="360" w:lineRule="exact"/>
              <w:jc w:val="both"/>
              <w:rPr>
                <w:rFonts w:ascii="仿宋" w:eastAsia="仿宋" w:hAnsi="仿宋"/>
                <w:color w:val="000000"/>
                <w:kern w:val="2"/>
              </w:rPr>
            </w:pPr>
            <w:r>
              <w:rPr>
                <w:rFonts w:ascii="仿宋" w:eastAsia="仿宋" w:hAnsi="仿宋" w:hint="eastAsia"/>
                <w:color w:val="000000"/>
                <w:kern w:val="2"/>
              </w:rPr>
              <w:t>1.服从发包人的工作安排，提供基本质量保证方面的承诺（包括但不限于投入的专业人员数量、完成专项任务时间、质量保证措施等方面）；2.提供后续服务咨询和增值服务承诺3.审计任务完成后，提供与后续跟进单位的工作衔接、业务交流、资料共享等承诺。每1项计2分。未提供的不计分</w:t>
            </w:r>
          </w:p>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（投标人必须提供相关制度说明材料复印件及相关承诺资料并加盖投标人单位公章，格式自拟，否则不计分。）</w:t>
            </w:r>
          </w:p>
        </w:tc>
      </w:tr>
      <w:tr w:rsidR="008A75DD" w:rsidTr="008A75DD">
        <w:trPr>
          <w:trHeight w:val="1410"/>
        </w:trPr>
        <w:tc>
          <w:tcPr>
            <w:tcW w:w="319" w:type="dxa"/>
            <w:vMerge/>
            <w:tcBorders>
              <w:top w:val="nil"/>
              <w:left w:val="single" w:sz="4" w:space="0" w:color="auto"/>
              <w:bottom w:val="single" w:sz="4" w:space="0" w:color="auto"/>
              <w:right w:val="single" w:sz="4" w:space="0" w:color="auto"/>
            </w:tcBorders>
            <w:vAlign w:val="center"/>
            <w:hideMark/>
          </w:tcPr>
          <w:p w:rsidR="008A75DD" w:rsidRDefault="008A75DD">
            <w:pPr>
              <w:widowControl/>
              <w:jc w:val="left"/>
              <w:rPr>
                <w:rFonts w:ascii="仿宋" w:eastAsia="仿宋" w:hAnsi="仿宋"/>
                <w:color w:val="000000"/>
                <w:sz w:val="28"/>
                <w:szCs w:val="28"/>
              </w:rPr>
            </w:pPr>
          </w:p>
        </w:tc>
        <w:tc>
          <w:tcPr>
            <w:tcW w:w="786" w:type="dxa"/>
            <w:vMerge/>
            <w:tcBorders>
              <w:top w:val="nil"/>
              <w:left w:val="single" w:sz="4" w:space="0" w:color="auto"/>
              <w:bottom w:val="single" w:sz="4" w:space="0" w:color="auto"/>
              <w:right w:val="single" w:sz="4" w:space="0" w:color="auto"/>
            </w:tcBorders>
            <w:vAlign w:val="center"/>
            <w:hideMark/>
          </w:tcPr>
          <w:p w:rsidR="008A75DD" w:rsidRDefault="008A75DD">
            <w:pPr>
              <w:widowControl/>
              <w:jc w:val="left"/>
              <w:rPr>
                <w:rFonts w:ascii="仿宋" w:eastAsia="仿宋" w:hAnsi="仿宋"/>
                <w:color w:val="000000"/>
                <w:sz w:val="24"/>
                <w:szCs w:val="24"/>
              </w:rPr>
            </w:pP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投标文件格式</w:t>
            </w:r>
          </w:p>
        </w:tc>
        <w:tc>
          <w:tcPr>
            <w:tcW w:w="5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4分</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75DD" w:rsidRDefault="008A75DD">
            <w:pPr>
              <w:snapToGrid w:val="0"/>
              <w:spacing w:line="360" w:lineRule="exact"/>
              <w:rPr>
                <w:rFonts w:ascii="仿宋" w:eastAsia="仿宋" w:hAnsi="仿宋"/>
                <w:color w:val="000000"/>
                <w:sz w:val="24"/>
                <w:szCs w:val="24"/>
              </w:rPr>
            </w:pPr>
            <w:r>
              <w:rPr>
                <w:rFonts w:ascii="仿宋" w:eastAsia="仿宋" w:hAnsi="仿宋" w:hint="eastAsia"/>
                <w:color w:val="000000"/>
                <w:sz w:val="24"/>
                <w:szCs w:val="24"/>
              </w:rPr>
              <w:t>投标文件按招标文件规定的格式顺序编制、有目录、编页码、胶装成册，计4分。符合要求计4分。不符合要求的，每处扣1分。</w:t>
            </w:r>
          </w:p>
        </w:tc>
      </w:tr>
    </w:tbl>
    <w:p w:rsidR="008A75DD" w:rsidRDefault="008A75DD" w:rsidP="008A75DD">
      <w:pPr>
        <w:snapToGrid w:val="0"/>
        <w:spacing w:line="560" w:lineRule="exact"/>
        <w:ind w:firstLineChars="400" w:firstLine="1124"/>
        <w:rPr>
          <w:rFonts w:ascii="宋体" w:hAnsi="宋体" w:hint="eastAsia"/>
          <w:b/>
          <w:bCs/>
          <w:color w:val="000000"/>
          <w:sz w:val="28"/>
          <w:szCs w:val="28"/>
        </w:rPr>
      </w:pPr>
      <w:r>
        <w:rPr>
          <w:rFonts w:ascii="宋体" w:hAnsi="宋体" w:hint="eastAsia"/>
          <w:b/>
          <w:bCs/>
          <w:color w:val="000000"/>
          <w:sz w:val="28"/>
          <w:szCs w:val="28"/>
        </w:rPr>
        <w:t xml:space="preserve"> </w:t>
      </w:r>
    </w:p>
    <w:p w:rsidR="00692CE3" w:rsidRPr="008A75DD" w:rsidRDefault="00692CE3"/>
    <w:sectPr w:rsidR="00692CE3" w:rsidRPr="008A75DD" w:rsidSect="00692C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75DD"/>
    <w:rsid w:val="00692CE3"/>
    <w:rsid w:val="008A7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A75D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unhideWhenUsed/>
    <w:rsid w:val="008A75DD"/>
    <w:pPr>
      <w:spacing w:before="100" w:beforeAutospacing="1" w:after="120"/>
    </w:pPr>
  </w:style>
  <w:style w:type="character" w:customStyle="1" w:styleId="Char">
    <w:name w:val="正文文本 Char"/>
    <w:basedOn w:val="a0"/>
    <w:link w:val="a3"/>
    <w:uiPriority w:val="99"/>
    <w:rsid w:val="008A75DD"/>
    <w:rPr>
      <w:rFonts w:ascii="Times New Roman" w:eastAsia="宋体" w:hAnsi="Times New Roman" w:cs="Times New Roman"/>
      <w:szCs w:val="21"/>
    </w:rPr>
  </w:style>
  <w:style w:type="paragraph" w:customStyle="1" w:styleId="Normal8">
    <w:name w:val="Normal_8"/>
    <w:basedOn w:val="a"/>
    <w:rsid w:val="008A75DD"/>
    <w:pPr>
      <w:widowControl/>
      <w:jc w:val="left"/>
    </w:pPr>
    <w:rPr>
      <w:kern w:val="0"/>
      <w:sz w:val="24"/>
      <w:szCs w:val="24"/>
    </w:rPr>
  </w:style>
  <w:style w:type="paragraph" w:styleId="2">
    <w:name w:val="Body Text 2"/>
    <w:basedOn w:val="a"/>
    <w:link w:val="2Char"/>
    <w:uiPriority w:val="99"/>
    <w:semiHidden/>
    <w:unhideWhenUsed/>
    <w:rsid w:val="008A75DD"/>
    <w:pPr>
      <w:spacing w:after="120" w:line="480" w:lineRule="auto"/>
    </w:pPr>
  </w:style>
  <w:style w:type="character" w:customStyle="1" w:styleId="2Char">
    <w:name w:val="正文文本 2 Char"/>
    <w:basedOn w:val="a0"/>
    <w:link w:val="2"/>
    <w:uiPriority w:val="99"/>
    <w:semiHidden/>
    <w:rsid w:val="008A75DD"/>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divs>
    <w:div w:id="18844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1114</Characters>
  <Application>Microsoft Office Word</Application>
  <DocSecurity>0</DocSecurity>
  <Lines>9</Lines>
  <Paragraphs>2</Paragraphs>
  <ScaleCrop>false</ScaleCrop>
  <Company>Microsoft</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2024-07-05T09:09:00Z</dcterms:created>
  <dcterms:modified xsi:type="dcterms:W3CDTF">2024-07-05T09:10:00Z</dcterms:modified>
</cp:coreProperties>
</file>