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 价 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娄底职业技术学院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1.根据贵单位</w:t>
      </w:r>
      <w:r>
        <w:rPr>
          <w:rFonts w:hint="eastAsia" w:ascii="宋体" w:hAnsi="宋体" w:cs="宋体"/>
          <w:color w:val="auto"/>
          <w:sz w:val="28"/>
          <w:szCs w:val="28"/>
        </w:rPr>
        <w:t>娄底职院医学部明德大礼堂屋顶改造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项目电子卖场竞价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公告要求，我公司针对该工程《工程量清单》中的“综合单价下浮费率”投标报价为      ％（报价不能低于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2.0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%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保留小数点后以为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2.我司已详细审核并确认邀请函的全部内容，我司完全认可，承诺确保按相关规定要求完成全部相关工作。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3.中标通知下达后，我司将按规定时间开工并签订合同。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240" w:firstLineChars="8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240" w:firstLineChars="8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法定代表人或授权委托人（签章）：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4200" w:firstLineChars="15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3640" w:firstLineChars="13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公司盖章：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3640" w:firstLineChars="13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月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</w:p>
    <w:p/>
    <w:p>
      <w:pPr>
        <w:pStyle w:val="2"/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TAyMGU3MzdhMmNmZTQyYjcyNWZjNDAxMmY1Y2UifQ=="/>
  </w:docVars>
  <w:rsids>
    <w:rsidRoot w:val="00000000"/>
    <w:rsid w:val="001F0F44"/>
    <w:rsid w:val="09DC0C8E"/>
    <w:rsid w:val="389F5B1F"/>
    <w:rsid w:val="3ADF3ADD"/>
    <w:rsid w:val="3D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207</Characters>
  <Lines>0</Lines>
  <Paragraphs>0</Paragraphs>
  <TotalTime>0</TotalTime>
  <ScaleCrop>false</ScaleCrop>
  <LinksUpToDate>false</LinksUpToDate>
  <CharactersWithSpaces>221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2023-07-06T09:39:00Z</dcterms:created>
  <dc:creator>Administrator</dc:creator>
  <cp:lastModifiedBy>Administrator</cp:lastModifiedBy>
  <dcterms:modified xsi:type="dcterms:W3CDTF">2023-07-24T07:58:20Z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DECAA95E43644ECD89C9987C16D8ADF6_13</vt:lpwstr>
  </property>
</Properties>
</file>